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AF8" w:rsidRPr="0099073B" w:rsidRDefault="008C27CE">
      <w:pPr>
        <w:pStyle w:val="Standard"/>
        <w:spacing w:after="0" w:line="240" w:lineRule="auto"/>
        <w:jc w:val="right"/>
        <w:rPr>
          <w:rFonts w:asciiTheme="minorHAnsi" w:hAnsiTheme="minorHAnsi" w:cstheme="minorHAnsi"/>
          <w:b/>
          <w:lang w:eastAsia="it-IT"/>
        </w:rPr>
      </w:pPr>
      <w:r w:rsidRPr="0099073B">
        <w:rPr>
          <w:rFonts w:asciiTheme="minorHAnsi" w:hAnsiTheme="minorHAnsi" w:cstheme="minorHAnsi"/>
          <w:b/>
          <w:lang w:eastAsia="it-IT"/>
        </w:rPr>
        <w:t xml:space="preserve">Allegato </w:t>
      </w:r>
      <w:r w:rsidR="00737F05">
        <w:rPr>
          <w:rFonts w:asciiTheme="minorHAnsi" w:hAnsiTheme="minorHAnsi" w:cstheme="minorHAnsi"/>
          <w:b/>
          <w:lang w:eastAsia="it-IT"/>
        </w:rPr>
        <w:t>11</w:t>
      </w:r>
    </w:p>
    <w:p w:rsidR="00780514" w:rsidRPr="0099073B" w:rsidRDefault="00780514" w:rsidP="00780514">
      <w:pPr>
        <w:widowControl/>
        <w:spacing w:line="276" w:lineRule="auto"/>
        <w:ind w:left="993" w:hanging="993"/>
        <w:jc w:val="both"/>
        <w:rPr>
          <w:rFonts w:asciiTheme="minorHAnsi" w:hAnsiTheme="minorHAnsi" w:cstheme="minorHAnsi"/>
          <w:b/>
          <w:bCs/>
          <w:sz w:val="20"/>
          <w:szCs w:val="20"/>
          <w:lang w:eastAsia="en-US"/>
        </w:rPr>
      </w:pPr>
    </w:p>
    <w:p w:rsidR="00FC2F5B" w:rsidRPr="0052713C" w:rsidRDefault="00780514" w:rsidP="0052713C">
      <w:pPr>
        <w:pStyle w:val="Nessunaspaziatura"/>
        <w:pBdr>
          <w:top w:val="single" w:sz="4" w:space="1" w:color="auto"/>
          <w:left w:val="single" w:sz="4" w:space="4" w:color="auto"/>
          <w:bottom w:val="single" w:sz="4" w:space="1" w:color="auto"/>
          <w:right w:val="single" w:sz="4" w:space="4" w:color="auto"/>
        </w:pBdr>
        <w:spacing w:line="360" w:lineRule="auto"/>
        <w:jc w:val="both"/>
        <w:rPr>
          <w:rFonts w:asciiTheme="minorHAnsi" w:eastAsia="Century Gothic" w:hAnsiTheme="minorHAnsi" w:cstheme="minorHAnsi"/>
          <w:spacing w:val="-1"/>
          <w:sz w:val="24"/>
          <w:szCs w:val="24"/>
        </w:rPr>
      </w:pPr>
      <w:r w:rsidRPr="0099073B">
        <w:rPr>
          <w:rFonts w:asciiTheme="minorHAnsi" w:hAnsiTheme="minorHAnsi" w:cstheme="minorHAnsi"/>
          <w:b/>
          <w:bCs/>
          <w:sz w:val="24"/>
          <w:szCs w:val="24"/>
        </w:rPr>
        <w:t xml:space="preserve">Oggetto: </w:t>
      </w:r>
      <w:r w:rsidR="0099073B" w:rsidRPr="0099073B">
        <w:rPr>
          <w:rFonts w:asciiTheme="minorHAnsi" w:eastAsia="Century Gothic" w:hAnsiTheme="minorHAnsi" w:cstheme="minorHAnsi"/>
          <w:sz w:val="24"/>
          <w:szCs w:val="24"/>
        </w:rPr>
        <w:t>P</w:t>
      </w:r>
      <w:r w:rsidR="0099073B" w:rsidRPr="0099073B">
        <w:rPr>
          <w:rFonts w:asciiTheme="minorHAnsi" w:eastAsia="Century Gothic" w:hAnsiTheme="minorHAnsi" w:cstheme="minorHAnsi"/>
          <w:spacing w:val="-1"/>
          <w:sz w:val="24"/>
          <w:szCs w:val="24"/>
        </w:rPr>
        <w:t>S</w:t>
      </w:r>
      <w:r w:rsidR="0099073B" w:rsidRPr="0099073B">
        <w:rPr>
          <w:rFonts w:asciiTheme="minorHAnsi" w:eastAsia="Century Gothic" w:hAnsiTheme="minorHAnsi" w:cstheme="minorHAnsi"/>
          <w:sz w:val="24"/>
          <w:szCs w:val="24"/>
        </w:rPr>
        <w:t xml:space="preserve">R </w:t>
      </w:r>
      <w:r w:rsidR="0099073B" w:rsidRPr="0099073B">
        <w:rPr>
          <w:rFonts w:asciiTheme="minorHAnsi" w:eastAsia="Century Gothic" w:hAnsiTheme="minorHAnsi" w:cstheme="minorHAnsi"/>
          <w:spacing w:val="-1"/>
          <w:sz w:val="24"/>
          <w:szCs w:val="24"/>
        </w:rPr>
        <w:t>C</w:t>
      </w:r>
      <w:r w:rsidR="0099073B" w:rsidRPr="0099073B">
        <w:rPr>
          <w:rFonts w:asciiTheme="minorHAnsi" w:eastAsia="Century Gothic" w:hAnsiTheme="minorHAnsi" w:cstheme="minorHAnsi"/>
          <w:spacing w:val="1"/>
          <w:sz w:val="24"/>
          <w:szCs w:val="24"/>
        </w:rPr>
        <w:t>a</w:t>
      </w:r>
      <w:r w:rsidR="0099073B" w:rsidRPr="0099073B">
        <w:rPr>
          <w:rFonts w:asciiTheme="minorHAnsi" w:eastAsia="Century Gothic" w:hAnsiTheme="minorHAnsi" w:cstheme="minorHAnsi"/>
          <w:sz w:val="24"/>
          <w:szCs w:val="24"/>
        </w:rPr>
        <w:t>m</w:t>
      </w:r>
      <w:r w:rsidR="0099073B" w:rsidRPr="0099073B">
        <w:rPr>
          <w:rFonts w:asciiTheme="minorHAnsi" w:eastAsia="Century Gothic" w:hAnsiTheme="minorHAnsi" w:cstheme="minorHAnsi"/>
          <w:spacing w:val="1"/>
          <w:sz w:val="24"/>
          <w:szCs w:val="24"/>
        </w:rPr>
        <w:t>pani</w:t>
      </w:r>
      <w:r w:rsidR="0099073B" w:rsidRPr="0099073B">
        <w:rPr>
          <w:rFonts w:asciiTheme="minorHAnsi" w:eastAsia="Century Gothic" w:hAnsiTheme="minorHAnsi" w:cstheme="minorHAnsi"/>
          <w:sz w:val="24"/>
          <w:szCs w:val="24"/>
        </w:rPr>
        <w:t>a 201</w:t>
      </w:r>
      <w:r w:rsidR="0099073B" w:rsidRPr="0099073B">
        <w:rPr>
          <w:rFonts w:asciiTheme="minorHAnsi" w:eastAsia="Century Gothic" w:hAnsiTheme="minorHAnsi" w:cstheme="minorHAnsi"/>
          <w:spacing w:val="2"/>
          <w:sz w:val="24"/>
          <w:szCs w:val="24"/>
        </w:rPr>
        <w:t>4</w:t>
      </w:r>
      <w:r w:rsidR="0099073B" w:rsidRPr="0099073B">
        <w:rPr>
          <w:rFonts w:asciiTheme="minorHAnsi" w:eastAsia="Century Gothic" w:hAnsiTheme="minorHAnsi" w:cstheme="minorHAnsi"/>
          <w:sz w:val="24"/>
          <w:szCs w:val="24"/>
        </w:rPr>
        <w:t xml:space="preserve">-2020. </w:t>
      </w:r>
      <w:r w:rsidR="0099073B" w:rsidRPr="0099073B">
        <w:rPr>
          <w:rFonts w:asciiTheme="minorHAnsi" w:eastAsia="Century Gothic" w:hAnsiTheme="minorHAnsi" w:cstheme="minorHAnsi"/>
          <w:spacing w:val="2"/>
          <w:sz w:val="24"/>
          <w:szCs w:val="24"/>
        </w:rPr>
        <w:t>M</w:t>
      </w:r>
      <w:r w:rsidR="0099073B" w:rsidRPr="0099073B">
        <w:rPr>
          <w:rFonts w:asciiTheme="minorHAnsi" w:eastAsia="Century Gothic" w:hAnsiTheme="minorHAnsi" w:cstheme="minorHAnsi"/>
          <w:spacing w:val="1"/>
          <w:sz w:val="24"/>
          <w:szCs w:val="24"/>
        </w:rPr>
        <w:t>i</w:t>
      </w:r>
      <w:r w:rsidR="0099073B" w:rsidRPr="0099073B">
        <w:rPr>
          <w:rFonts w:asciiTheme="minorHAnsi" w:eastAsia="Century Gothic" w:hAnsiTheme="minorHAnsi" w:cstheme="minorHAnsi"/>
          <w:sz w:val="24"/>
          <w:szCs w:val="24"/>
        </w:rPr>
        <w:t>s</w:t>
      </w:r>
      <w:r w:rsidR="0099073B" w:rsidRPr="0099073B">
        <w:rPr>
          <w:rFonts w:asciiTheme="minorHAnsi" w:eastAsia="Century Gothic" w:hAnsiTheme="minorHAnsi" w:cstheme="minorHAnsi"/>
          <w:spacing w:val="-2"/>
          <w:sz w:val="24"/>
          <w:szCs w:val="24"/>
        </w:rPr>
        <w:t>u</w:t>
      </w:r>
      <w:r w:rsidR="0099073B" w:rsidRPr="0099073B">
        <w:rPr>
          <w:rFonts w:asciiTheme="minorHAnsi" w:eastAsia="Century Gothic" w:hAnsiTheme="minorHAnsi" w:cstheme="minorHAnsi"/>
          <w:sz w:val="24"/>
          <w:szCs w:val="24"/>
        </w:rPr>
        <w:t xml:space="preserve">ra </w:t>
      </w:r>
      <w:r w:rsidR="00CE4071">
        <w:rPr>
          <w:rFonts w:asciiTheme="minorHAnsi" w:eastAsia="Century Gothic" w:hAnsiTheme="minorHAnsi" w:cstheme="minorHAnsi"/>
          <w:sz w:val="24"/>
          <w:szCs w:val="24"/>
        </w:rPr>
        <w:t>1</w:t>
      </w:r>
      <w:r w:rsidR="0052713C">
        <w:rPr>
          <w:rFonts w:asciiTheme="minorHAnsi" w:eastAsia="Century Gothic" w:hAnsiTheme="minorHAnsi" w:cstheme="minorHAnsi"/>
          <w:sz w:val="24"/>
          <w:szCs w:val="24"/>
        </w:rPr>
        <w:t>6</w:t>
      </w:r>
      <w:r w:rsidR="0099073B" w:rsidRPr="0099073B">
        <w:rPr>
          <w:rFonts w:asciiTheme="minorHAnsi" w:eastAsia="Century Gothic" w:hAnsiTheme="minorHAnsi" w:cstheme="minorHAnsi"/>
          <w:sz w:val="24"/>
          <w:szCs w:val="24"/>
        </w:rPr>
        <w:t xml:space="preserve"> – </w:t>
      </w:r>
      <w:r w:rsidR="0099073B" w:rsidRPr="0099073B">
        <w:rPr>
          <w:rFonts w:asciiTheme="minorHAnsi" w:eastAsia="Century Gothic" w:hAnsiTheme="minorHAnsi" w:cstheme="minorHAnsi"/>
          <w:spacing w:val="-1"/>
          <w:sz w:val="24"/>
          <w:szCs w:val="24"/>
        </w:rPr>
        <w:t>T</w:t>
      </w:r>
      <w:r w:rsidR="0099073B" w:rsidRPr="0099073B">
        <w:rPr>
          <w:rFonts w:asciiTheme="minorHAnsi" w:eastAsia="Century Gothic" w:hAnsiTheme="minorHAnsi" w:cstheme="minorHAnsi"/>
          <w:spacing w:val="1"/>
          <w:sz w:val="24"/>
          <w:szCs w:val="24"/>
        </w:rPr>
        <w:t>ip</w:t>
      </w:r>
      <w:r w:rsidR="0099073B" w:rsidRPr="0099073B">
        <w:rPr>
          <w:rFonts w:asciiTheme="minorHAnsi" w:eastAsia="Century Gothic" w:hAnsiTheme="minorHAnsi" w:cstheme="minorHAnsi"/>
          <w:spacing w:val="-1"/>
          <w:sz w:val="24"/>
          <w:szCs w:val="24"/>
        </w:rPr>
        <w:t>o</w:t>
      </w:r>
      <w:r w:rsidR="0099073B" w:rsidRPr="0099073B">
        <w:rPr>
          <w:rFonts w:asciiTheme="minorHAnsi" w:eastAsia="Century Gothic" w:hAnsiTheme="minorHAnsi" w:cstheme="minorHAnsi"/>
          <w:spacing w:val="1"/>
          <w:sz w:val="24"/>
          <w:szCs w:val="24"/>
        </w:rPr>
        <w:t>l</w:t>
      </w:r>
      <w:r w:rsidR="0099073B" w:rsidRPr="0099073B">
        <w:rPr>
          <w:rFonts w:asciiTheme="minorHAnsi" w:eastAsia="Century Gothic" w:hAnsiTheme="minorHAnsi" w:cstheme="minorHAnsi"/>
          <w:spacing w:val="-1"/>
          <w:sz w:val="24"/>
          <w:szCs w:val="24"/>
        </w:rPr>
        <w:t>o</w:t>
      </w:r>
      <w:r w:rsidR="0099073B" w:rsidRPr="0099073B">
        <w:rPr>
          <w:rFonts w:asciiTheme="minorHAnsi" w:eastAsia="Century Gothic" w:hAnsiTheme="minorHAnsi" w:cstheme="minorHAnsi"/>
          <w:sz w:val="24"/>
          <w:szCs w:val="24"/>
        </w:rPr>
        <w:t>g</w:t>
      </w:r>
      <w:r w:rsidR="0099073B" w:rsidRPr="0099073B">
        <w:rPr>
          <w:rFonts w:asciiTheme="minorHAnsi" w:eastAsia="Century Gothic" w:hAnsiTheme="minorHAnsi" w:cstheme="minorHAnsi"/>
          <w:spacing w:val="1"/>
          <w:sz w:val="24"/>
          <w:szCs w:val="24"/>
        </w:rPr>
        <w:t>i</w:t>
      </w:r>
      <w:r w:rsidR="0099073B" w:rsidRPr="0099073B">
        <w:rPr>
          <w:rFonts w:asciiTheme="minorHAnsi" w:eastAsia="Century Gothic" w:hAnsiTheme="minorHAnsi" w:cstheme="minorHAnsi"/>
          <w:sz w:val="24"/>
          <w:szCs w:val="24"/>
        </w:rPr>
        <w:t xml:space="preserve">a di </w:t>
      </w:r>
      <w:r w:rsidR="0099073B" w:rsidRPr="0099073B">
        <w:rPr>
          <w:rFonts w:asciiTheme="minorHAnsi" w:eastAsia="Century Gothic" w:hAnsiTheme="minorHAnsi" w:cstheme="minorHAnsi"/>
          <w:spacing w:val="1"/>
          <w:sz w:val="24"/>
          <w:szCs w:val="24"/>
        </w:rPr>
        <w:t>i</w:t>
      </w:r>
      <w:r w:rsidR="0099073B" w:rsidRPr="0099073B">
        <w:rPr>
          <w:rFonts w:asciiTheme="minorHAnsi" w:eastAsia="Century Gothic" w:hAnsiTheme="minorHAnsi" w:cstheme="minorHAnsi"/>
          <w:spacing w:val="-2"/>
          <w:sz w:val="24"/>
          <w:szCs w:val="24"/>
        </w:rPr>
        <w:t>n</w:t>
      </w:r>
      <w:r w:rsidR="0099073B" w:rsidRPr="0099073B">
        <w:rPr>
          <w:rFonts w:asciiTheme="minorHAnsi" w:eastAsia="Century Gothic" w:hAnsiTheme="minorHAnsi" w:cstheme="minorHAnsi"/>
          <w:spacing w:val="2"/>
          <w:sz w:val="24"/>
          <w:szCs w:val="24"/>
        </w:rPr>
        <w:t>t</w:t>
      </w:r>
      <w:r w:rsidR="0099073B" w:rsidRPr="0099073B">
        <w:rPr>
          <w:rFonts w:asciiTheme="minorHAnsi" w:eastAsia="Century Gothic" w:hAnsiTheme="minorHAnsi" w:cstheme="minorHAnsi"/>
          <w:sz w:val="24"/>
          <w:szCs w:val="24"/>
        </w:rPr>
        <w:t>erve</w:t>
      </w:r>
      <w:r w:rsidR="0099073B" w:rsidRPr="0099073B">
        <w:rPr>
          <w:rFonts w:asciiTheme="minorHAnsi" w:eastAsia="Century Gothic" w:hAnsiTheme="minorHAnsi" w:cstheme="minorHAnsi"/>
          <w:spacing w:val="1"/>
          <w:sz w:val="24"/>
          <w:szCs w:val="24"/>
        </w:rPr>
        <w:t>n</w:t>
      </w:r>
      <w:r w:rsidR="0099073B" w:rsidRPr="0099073B">
        <w:rPr>
          <w:rFonts w:asciiTheme="minorHAnsi" w:eastAsia="Century Gothic" w:hAnsiTheme="minorHAnsi" w:cstheme="minorHAnsi"/>
          <w:spacing w:val="2"/>
          <w:sz w:val="24"/>
          <w:szCs w:val="24"/>
        </w:rPr>
        <w:t>t</w:t>
      </w:r>
      <w:r w:rsidR="0099073B" w:rsidRPr="0099073B">
        <w:rPr>
          <w:rFonts w:asciiTheme="minorHAnsi" w:eastAsia="Century Gothic" w:hAnsiTheme="minorHAnsi" w:cstheme="minorHAnsi"/>
          <w:sz w:val="24"/>
          <w:szCs w:val="24"/>
        </w:rPr>
        <w:t xml:space="preserve">o </w:t>
      </w:r>
      <w:r w:rsidR="00CE4071">
        <w:rPr>
          <w:rFonts w:asciiTheme="minorHAnsi" w:eastAsia="Century Gothic" w:hAnsiTheme="minorHAnsi" w:cstheme="minorHAnsi"/>
          <w:sz w:val="24"/>
          <w:szCs w:val="24"/>
        </w:rPr>
        <w:t>1</w:t>
      </w:r>
      <w:r w:rsidR="0052713C">
        <w:rPr>
          <w:rFonts w:asciiTheme="minorHAnsi" w:eastAsia="Century Gothic" w:hAnsiTheme="minorHAnsi" w:cstheme="minorHAnsi"/>
          <w:sz w:val="24"/>
          <w:szCs w:val="24"/>
        </w:rPr>
        <w:t>6</w:t>
      </w:r>
      <w:r w:rsidR="0099073B" w:rsidRPr="0099073B">
        <w:rPr>
          <w:rFonts w:asciiTheme="minorHAnsi" w:eastAsia="Century Gothic" w:hAnsiTheme="minorHAnsi" w:cstheme="minorHAnsi"/>
          <w:spacing w:val="-2"/>
          <w:sz w:val="24"/>
          <w:szCs w:val="24"/>
        </w:rPr>
        <w:t>.</w:t>
      </w:r>
      <w:r w:rsidR="00CE4071">
        <w:rPr>
          <w:rFonts w:asciiTheme="minorHAnsi" w:eastAsia="Century Gothic" w:hAnsiTheme="minorHAnsi" w:cstheme="minorHAnsi"/>
          <w:spacing w:val="2"/>
          <w:sz w:val="24"/>
          <w:szCs w:val="24"/>
        </w:rPr>
        <w:t>1</w:t>
      </w:r>
      <w:r w:rsidR="0099073B" w:rsidRPr="0099073B">
        <w:rPr>
          <w:rFonts w:asciiTheme="minorHAnsi" w:eastAsia="Century Gothic" w:hAnsiTheme="minorHAnsi" w:cstheme="minorHAnsi"/>
          <w:spacing w:val="-2"/>
          <w:sz w:val="24"/>
          <w:szCs w:val="24"/>
        </w:rPr>
        <w:t>.</w:t>
      </w:r>
      <w:r w:rsidR="0099073B" w:rsidRPr="0099073B">
        <w:rPr>
          <w:rFonts w:asciiTheme="minorHAnsi" w:eastAsia="Century Gothic" w:hAnsiTheme="minorHAnsi" w:cstheme="minorHAnsi"/>
          <w:sz w:val="24"/>
          <w:szCs w:val="24"/>
        </w:rPr>
        <w:t xml:space="preserve">1 </w:t>
      </w:r>
      <w:r w:rsidR="00CE4071">
        <w:rPr>
          <w:rFonts w:asciiTheme="minorHAnsi" w:eastAsia="Century Gothic" w:hAnsiTheme="minorHAnsi" w:cstheme="minorHAnsi"/>
          <w:sz w:val="24"/>
          <w:szCs w:val="24"/>
        </w:rPr>
        <w:t xml:space="preserve">Azione 1 </w:t>
      </w:r>
      <w:r w:rsidR="0052713C" w:rsidRPr="0052713C">
        <w:rPr>
          <w:rFonts w:asciiTheme="minorHAnsi" w:eastAsia="Century Gothic" w:hAnsiTheme="minorHAnsi" w:cstheme="minorHAnsi"/>
          <w:spacing w:val="-1"/>
          <w:sz w:val="24"/>
          <w:szCs w:val="24"/>
        </w:rPr>
        <w:t>“</w:t>
      </w:r>
      <w:r w:rsidR="00CE4071" w:rsidRPr="00CE4071">
        <w:rPr>
          <w:rFonts w:asciiTheme="minorHAnsi" w:eastAsia="Century Gothic" w:hAnsiTheme="minorHAnsi" w:cstheme="minorHAnsi"/>
          <w:i/>
          <w:spacing w:val="1"/>
          <w:sz w:val="24"/>
          <w:szCs w:val="24"/>
        </w:rPr>
        <w:t>Sostegno per la costituzione e l’avvio dei Gruppi Operativi</w:t>
      </w:r>
      <w:r w:rsidR="0052713C" w:rsidRPr="00CE4071">
        <w:rPr>
          <w:rFonts w:asciiTheme="minorHAnsi" w:eastAsia="Century Gothic" w:hAnsiTheme="minorHAnsi" w:cstheme="minorHAnsi"/>
          <w:i/>
          <w:spacing w:val="1"/>
          <w:sz w:val="24"/>
          <w:szCs w:val="24"/>
        </w:rPr>
        <w:t>”</w:t>
      </w:r>
    </w:p>
    <w:p w:rsidR="00780514" w:rsidRPr="0099073B" w:rsidRDefault="00780514" w:rsidP="00780514">
      <w:pPr>
        <w:widowControl/>
        <w:spacing w:line="276" w:lineRule="auto"/>
        <w:ind w:left="993" w:hanging="993"/>
        <w:jc w:val="both"/>
        <w:rPr>
          <w:rFonts w:asciiTheme="minorHAnsi" w:eastAsia="Century Gothic" w:hAnsiTheme="minorHAnsi" w:cstheme="minorHAnsi"/>
          <w:spacing w:val="2"/>
          <w:sz w:val="24"/>
          <w:szCs w:val="24"/>
        </w:rPr>
      </w:pPr>
    </w:p>
    <w:p w:rsidR="00780514" w:rsidRPr="0099073B" w:rsidRDefault="00780514" w:rsidP="00780514">
      <w:pPr>
        <w:widowControl/>
        <w:jc w:val="center"/>
        <w:rPr>
          <w:rFonts w:asciiTheme="minorHAnsi" w:eastAsia="Cambria" w:hAnsiTheme="minorHAnsi" w:cstheme="minorHAnsi"/>
          <w:b/>
          <w:sz w:val="24"/>
          <w:szCs w:val="24"/>
          <w:lang w:eastAsia="en-US"/>
        </w:rPr>
      </w:pPr>
      <w:r w:rsidRPr="0099073B">
        <w:rPr>
          <w:rFonts w:asciiTheme="minorHAnsi" w:eastAsia="Cambria" w:hAnsiTheme="minorHAnsi" w:cstheme="minorHAnsi"/>
          <w:b/>
          <w:sz w:val="24"/>
          <w:szCs w:val="24"/>
          <w:lang w:eastAsia="en-US"/>
        </w:rPr>
        <w:t xml:space="preserve">INFORMATIVA TRATTAMENTO DATI REGOLAMENTO UE 679/2016 </w:t>
      </w:r>
    </w:p>
    <w:p w:rsidR="00780514" w:rsidRPr="0099073B" w:rsidRDefault="00780514" w:rsidP="00780514">
      <w:pPr>
        <w:widowControl/>
        <w:jc w:val="center"/>
        <w:rPr>
          <w:rFonts w:asciiTheme="minorHAnsi" w:eastAsia="Cambria" w:hAnsiTheme="minorHAnsi" w:cstheme="minorHAnsi"/>
          <w:b/>
          <w:sz w:val="24"/>
          <w:szCs w:val="24"/>
          <w:lang w:eastAsia="en-US"/>
        </w:rPr>
      </w:pPr>
      <w:r w:rsidRPr="0099073B">
        <w:rPr>
          <w:rFonts w:asciiTheme="minorHAnsi" w:eastAsia="Cambria" w:hAnsiTheme="minorHAnsi" w:cstheme="minorHAnsi"/>
          <w:b/>
          <w:sz w:val="24"/>
          <w:szCs w:val="24"/>
          <w:lang w:eastAsia="en-US"/>
        </w:rPr>
        <w:t>relativo alla protezione delle persone fisiche con riguardo al trattamento dei dati personali, nonché alla libera circolazione di tali dati</w:t>
      </w:r>
    </w:p>
    <w:p w:rsidR="00780514" w:rsidRPr="0099073B" w:rsidRDefault="00780514" w:rsidP="00780514">
      <w:pPr>
        <w:widowControl/>
        <w:jc w:val="both"/>
        <w:rPr>
          <w:rFonts w:asciiTheme="minorHAnsi" w:eastAsia="Cambria" w:hAnsiTheme="minorHAnsi" w:cstheme="minorHAnsi"/>
          <w:sz w:val="18"/>
          <w:szCs w:val="18"/>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 xml:space="preserve">La Società consortile GAL – Gruppo di Azione Locale Irno – Cavese procede al trattamento dei dati nel rispetto delle disposizioni di cui al Regolamento Europeo 679/16 concernente la protezione delle persone fisiche con riguardo al trattamento dei dati personali, nonché alla libera circolazione di tali dati. </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Ai sensi degli artt. 13 e 14 del suddetto Regolamento, di seguito sono fornite le informazioni riguardanti i dati identificativi del Titolare del Trattamento e il Responsabile del Trattamento in tema di trattamento dei dati personali relativamente ai contratti e alla fornitura di servizi.</w:t>
      </w:r>
    </w:p>
    <w:p w:rsidR="00780514" w:rsidRPr="0099073B" w:rsidRDefault="00780514" w:rsidP="00780514">
      <w:pPr>
        <w:widowControl/>
        <w:jc w:val="both"/>
        <w:rPr>
          <w:rFonts w:asciiTheme="minorHAnsi" w:eastAsia="Cambria" w:hAnsiTheme="minorHAnsi" w:cstheme="minorHAnsi"/>
          <w:shd w:val="clear" w:color="auto" w:fill="FFFF00"/>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Il Titolare del Trattamento dei dati è Società consortile GAL – Gruppo di Azione Locale Irno – Cavese.</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t>Tipologia di dati trattati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forniti e trattati dalla Società consortile GAL sono: Amministrativo, Contabili, Bancari, Finanziari, Dati personali.</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t>Finalità del trattamento</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 xml:space="preserve">Vi informiamo che i dati personali, forniti direttamente dall’interessato e/o raccolti attraverso la compilazione di </w:t>
      </w:r>
      <w:proofErr w:type="spellStart"/>
      <w:r w:rsidRPr="0099073B">
        <w:rPr>
          <w:rFonts w:asciiTheme="minorHAnsi" w:eastAsia="Cambria" w:hAnsiTheme="minorHAnsi" w:cstheme="minorHAnsi"/>
          <w:lang w:eastAsia="en-US"/>
        </w:rPr>
        <w:t>form</w:t>
      </w:r>
      <w:proofErr w:type="spellEnd"/>
      <w:r w:rsidRPr="0099073B">
        <w:rPr>
          <w:rFonts w:asciiTheme="minorHAnsi" w:eastAsia="Cambria" w:hAnsiTheme="minorHAnsi" w:cstheme="minorHAnsi"/>
          <w:lang w:eastAsia="en-US"/>
        </w:rPr>
        <w:t xml:space="preserve"> disponibili nei siti internet gestiti dalla Società consortile GAL, sono trattati per finalità legate all'erogazione del servizio oggetto del contratto.</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E77A22">
        <w:rPr>
          <w:rFonts w:asciiTheme="minorHAnsi" w:eastAsia="Cambria" w:hAnsiTheme="minorHAnsi" w:cstheme="minorHAnsi"/>
          <w:sz w:val="28"/>
          <w:szCs w:val="28"/>
          <w:lang w:eastAsia="en-US"/>
        </w:rPr>
        <w:t xml:space="preserve">□ </w:t>
      </w:r>
      <w:r w:rsidRPr="0099073B">
        <w:rPr>
          <w:rFonts w:asciiTheme="minorHAnsi" w:eastAsia="Cambria" w:hAnsiTheme="minorHAnsi" w:cstheme="minorHAnsi"/>
          <w:lang w:eastAsia="en-US"/>
        </w:rPr>
        <w:t xml:space="preserve">ACCONSENTO                                                               </w:t>
      </w:r>
      <w:r w:rsidRPr="00E77A22">
        <w:rPr>
          <w:rFonts w:asciiTheme="minorHAnsi" w:eastAsia="Cambria" w:hAnsiTheme="minorHAnsi" w:cstheme="minorHAnsi"/>
          <w:sz w:val="28"/>
          <w:szCs w:val="28"/>
          <w:lang w:eastAsia="en-US"/>
        </w:rPr>
        <w:t>□</w:t>
      </w:r>
      <w:r w:rsidRPr="0099073B">
        <w:rPr>
          <w:rFonts w:asciiTheme="minorHAnsi" w:eastAsia="Cambria" w:hAnsiTheme="minorHAnsi" w:cstheme="minorHAnsi"/>
          <w:lang w:eastAsia="en-US"/>
        </w:rPr>
        <w:t xml:space="preserve"> NON ACCONSENTO</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t>Modalità del trattamento ed accesso ai dati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raccolti mediante sottoscrizione di contratti standard in formato analogico sono trattati sia in forma cartacea, sia con strumenti informatici e telematici e potranno essere elaborati in forma aggregata per finalità statistiche e di verifica degli standard di qualità dei servizi di assistenza e manutenzione, escludendo in tal caso il trattamento di dati identificativi.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 xml:space="preserve">I dati raccolti mediante la compilazione di </w:t>
      </w:r>
      <w:proofErr w:type="spellStart"/>
      <w:r w:rsidRPr="0099073B">
        <w:rPr>
          <w:rFonts w:asciiTheme="minorHAnsi" w:eastAsia="Cambria" w:hAnsiTheme="minorHAnsi" w:cstheme="minorHAnsi"/>
          <w:lang w:eastAsia="en-US"/>
        </w:rPr>
        <w:t>form</w:t>
      </w:r>
      <w:proofErr w:type="spellEnd"/>
      <w:r w:rsidRPr="0099073B">
        <w:rPr>
          <w:rFonts w:asciiTheme="minorHAnsi" w:eastAsia="Cambria" w:hAnsiTheme="minorHAnsi" w:cstheme="minorHAnsi"/>
          <w:lang w:eastAsia="en-US"/>
        </w:rPr>
        <w:t xml:space="preserve"> online sono trattati in forma elettronica e mediante sistemi informativi di natura gestionale.</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 xml:space="preserve">I dati sono accessibili esclusivamente da parte di incaricati, adeguatamente formati ed informativi circa le loro mansioni e le attività ad essi consentite sul dato raccolto, che operano per conto della </w:t>
      </w:r>
      <w:bookmarkStart w:id="0" w:name="_GoBack"/>
      <w:bookmarkEnd w:id="0"/>
      <w:r w:rsidRPr="0099073B">
        <w:rPr>
          <w:rFonts w:asciiTheme="minorHAnsi" w:eastAsia="Cambria" w:hAnsiTheme="minorHAnsi" w:cstheme="minorHAnsi"/>
          <w:lang w:eastAsia="en-US"/>
        </w:rPr>
        <w:t>Società consortile GAL e che sono destinatari di istruzioni e compiti impartiti dal Responsabile del Trattamento, a mezzo di lettera di nomina.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Il Titolare del Trattamento tratterà i dati per le finalità sopra indicate perseguendo i propri interessi legittimi che non vanno a prevalere sugli interessi o i diritti e le libertà dell’interessato.</w:t>
      </w:r>
    </w:p>
    <w:p w:rsidR="00780514" w:rsidRPr="0099073B" w:rsidRDefault="00780514" w:rsidP="00780514">
      <w:pPr>
        <w:widowControl/>
        <w:jc w:val="both"/>
        <w:rPr>
          <w:rFonts w:asciiTheme="minorHAnsi" w:eastAsia="Cambria" w:hAnsiTheme="minorHAnsi" w:cstheme="minorHAnsi"/>
          <w:lang w:eastAsia="en-US"/>
        </w:rPr>
      </w:pPr>
    </w:p>
    <w:p w:rsidR="00FC2F5B" w:rsidRDefault="00FC2F5B">
      <w:pPr>
        <w:suppressAutoHyphens w:val="0"/>
        <w:rPr>
          <w:rFonts w:asciiTheme="minorHAnsi" w:eastAsia="Cambria" w:hAnsiTheme="minorHAnsi" w:cstheme="minorHAnsi"/>
          <w:b/>
          <w:lang w:eastAsia="en-US"/>
        </w:rPr>
      </w:pPr>
      <w:bookmarkStart w:id="1" w:name="_Hlk501123708"/>
      <w:r>
        <w:rPr>
          <w:rFonts w:asciiTheme="minorHAnsi" w:eastAsia="Cambria" w:hAnsiTheme="minorHAnsi" w:cstheme="minorHAnsi"/>
          <w:b/>
          <w:lang w:eastAsia="en-US"/>
        </w:rPr>
        <w:br w:type="page"/>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lastRenderedPageBreak/>
        <w:t>Ambito di comunicazione ed eventuale diffusione</w:t>
      </w:r>
    </w:p>
    <w:bookmarkEnd w:id="1"/>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di clienti e committenti possono essere comunicati a pubbliche amministrazioni o esercenti un pubblico servizio in occasione della presentazione di domande di partecipazione a procedure per la scelta del contraente, al fine dell’aggiudicazione di appalti o concessioni per la fornitura di beni o servizi, secondo quanto previsto dalla normativa in tema di appalti pubblici, per finalità di qualificazione tecnica.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relativi al contratto e all’attività di servizio possono essere comunicati a consulenti commerciali per finalità amministrative e contabili e a legali per eventuale gestione di contenziosi.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ad esclusione di quelli di natura sensibile e giudiziaria, potranno essere comunicati a chi (privati o pubblica amministrazione), anche al di fuori dell’Unione Europea, nel suo legittimo interesse e usufruendo di un diritto espressamente attribuitogli dalla normativa specifica vigente in materia, richieda un accertamento sull’identità del titolare del servizio erogato dalla Società consortile GAL per finalità investigativa o comunque per la tutela di un proprio legittimo interesse.</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potranno altresì essere comunicati o resi accessibili alle società controllate e/o collegate alla Società consortile GAL, ad altri soggetti che si occupano della manutenzione dei sistemi informatici, nonché ai soggetti che si occupano di specifiche fasi dei trattamenti, in qualità di responsabili della Società consortile GAL i cui nominativi sono verificabili a richiesta degli interessati.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possono essere comunicati anche ad organi di polizia o all’autorità giudiziaria per finalità di accertamento o repressione di reati compiuti dagli utenti dei servizi telematici, ove necessario.</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non sono oggetto di diffusione, salvo i dati di imprese e società per scopo di referenza commerciale.</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potranno essere trattati al fine di individuare determinate caratteristiche di talune tipologie di destinatari al fine di veicolare le attività di comunicazione e di pubblicità mirate agli interessi degli stessi destinatari.</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t>Conservazione dei dati personali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La Società consortile GAL conserverà i dati degli interessati in una forma che consenta l’identificazione degli stessi per un arco temporale non superiore al conseguimento delle finalità per le quali i dati sono stati raccolti; verranno pertanto conservati fino all’esistenza del rapporto contrattuale in essere.</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 xml:space="preserve">I dati strettamente necessari per gli adempimenti fiscali e contabili, venuta meno la finalità per la quale erano stati raccolti, verranno conservati per un periodo di 10 anni come richiesto dalle normative in materia.  </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L’interessato ha diritto di chiedere, in qualunque momento, la modifica degli assetti regolati dal presente paragrafo attraverso l’esercizio dei diritti di cui al paragrafo successivo.</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t>I diritti dell’interessato</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L’interessato potrà esercitare i diritti di cui agli artt. da 15 a 22 del Regolamento Europeo 679/</w:t>
      </w:r>
      <w:proofErr w:type="gramStart"/>
      <w:r w:rsidRPr="0099073B">
        <w:rPr>
          <w:rFonts w:asciiTheme="minorHAnsi" w:eastAsia="Cambria" w:hAnsiTheme="minorHAnsi" w:cstheme="minorHAnsi"/>
          <w:lang w:eastAsia="en-US"/>
        </w:rPr>
        <w:t>16 :</w:t>
      </w:r>
      <w:proofErr w:type="gramEnd"/>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b/>
          <w:i/>
          <w:lang w:eastAsia="en-US"/>
        </w:rPr>
      </w:pPr>
      <w:r w:rsidRPr="0099073B">
        <w:rPr>
          <w:rFonts w:asciiTheme="minorHAnsi" w:eastAsia="Cambria" w:hAnsiTheme="minorHAnsi" w:cstheme="minorHAnsi"/>
          <w:b/>
          <w:i/>
          <w:lang w:eastAsia="en-US"/>
        </w:rPr>
        <w:t xml:space="preserve">Art 15 – Diritto di accesso dell'interessato </w:t>
      </w:r>
      <w:r w:rsidRPr="0099073B">
        <w:rPr>
          <w:rFonts w:asciiTheme="minorHAnsi" w:eastAsia="Cambria" w:hAnsiTheme="minorHAnsi" w:cstheme="minorHAnsi"/>
          <w:lang w:eastAsia="en-US"/>
        </w:rPr>
        <w:t xml:space="preserve">1.L'interessato ha il diritto di ottenere dal Titolare del Trattamento la conferma che sia o meno in corso un trattamento di dati personali che lo riguardano e in tal caso, di ottenere l'accesso ai dati personali e alle seguenti informazioni: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profilazione di cui all'articolo 22, paragrafi 1 e 4, e, almeno in tali casi, informazioni significative sulla logica utilizzata, nonché l'importanza e le conseguenze previste di tale trattamento per l'interessato. 2.Qualora i dati personali siano </w:t>
      </w:r>
      <w:r w:rsidRPr="0099073B">
        <w:rPr>
          <w:rFonts w:asciiTheme="minorHAnsi" w:eastAsia="Cambria" w:hAnsiTheme="minorHAnsi" w:cstheme="minorHAnsi"/>
          <w:lang w:eastAsia="en-US"/>
        </w:rPr>
        <w:lastRenderedPageBreak/>
        <w:t>trasferiti a un paese terzo o a un'organizzazione internazionale, l'interessato ha il diritto di essere informato dell'esistenza di garanzie adeguate ai sensi dell'articolo 46 relative al trasferimento. 3.Il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 4.Il diritto di ottenere una copia di cui al paragrafo 3 non deve ledere i diritti e le libertà altrui.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 xml:space="preserve">Art 16 – Diritto di rettifica - </w:t>
      </w:r>
      <w:r w:rsidRPr="0099073B">
        <w:rPr>
          <w:rFonts w:asciiTheme="minorHAnsi" w:eastAsia="Cambria" w:hAnsiTheme="minorHAnsi" w:cstheme="minorHAnsi"/>
          <w:lang w:eastAsia="en-US"/>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Art 17 – Diritto alla cancellazione -</w:t>
      </w:r>
      <w:r w:rsidRPr="0099073B">
        <w:rPr>
          <w:rFonts w:asciiTheme="minorHAnsi" w:eastAsia="Cambria" w:hAnsiTheme="minorHAnsi" w:cstheme="minorHAnsi"/>
          <w:lang w:eastAsia="en-US"/>
        </w:rPr>
        <w:t>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a) i dati personali non sono più necessari rispetto alle finalità per le quali sono stati raccolti o altrimenti trattati; 4.5.2016 IT Gazzetta ufficiale dell'Unione europea L 119/43 b) l'interessato revoca il consenso su cui si basa il trattamento conformemente all'articolo 6, paragrafo 1, lettera a), o all'articolo 9, paragrafo 2, lettera a), e se non sussiste altro fondamento giuridico per il trattamento; c) l'interessato si oppone al trattamento ai sensi dell'articolo 21, paragrafo 1, e non sussiste alcun motivo legittimo prevalente per procedere al trattamento, oppure si oppone al trattamento ai sensi dell'articolo 21, paragrafo 2; d) i dati personali sono stati trattati illecitamente; e) i dati personali devono essere cancellati per adempiere un obbligo legale previsto dal diritto dell'Unione o dello Stato membro cui è soggetto il Titolare del Trattamento; f) i dati personali sono stati raccolti relativamente all'offerta di servizi della società dell'informazione di cui all'articolo 8, paragrafo 1. 2. 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 3. I paragrafi 1 e 2 non si applicano nella misura in cui il trattamento sia necessario: a) per l'esercizio del diritto alla libertà di espressione e di informazione; b)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 c) per motivi di interesse pubblico nel settore della sanità pubblica in conformità dell'articolo 9, paragrafo 2, lettere h) e i), e dell'articolo 9, paragrafo 3; d) a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 o e) per l'accertamento, l'esercizio o la difesa di un diritto in sede giudiziaria.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 xml:space="preserve">Art 18 – Diritto di limitazione del trattamento - </w:t>
      </w:r>
      <w:r w:rsidRPr="0099073B">
        <w:rPr>
          <w:rFonts w:asciiTheme="minorHAnsi" w:eastAsia="Cambria" w:hAnsiTheme="minorHAnsi" w:cstheme="minorHAnsi"/>
          <w:lang w:eastAsia="en-US"/>
        </w:rPr>
        <w:t xml:space="preserve">1. L'interessato ha il diritto di ottenere dal Titolare del Trattamento la limitazione del trattamento quando ricorre una delle seguenti ipotesi: a) l'interessato contesta l'esattezza dei dati personali, per il periodo necessario al Titolare del Trattamento per verificare l'esattezza di tali dati personali; b) il trattamento è illecito e l'interessato si oppone alla cancellazione dei dati personali e chiede invece che ne sia limitato l'utilizzo; c) benché il Titolare del Trattamento non ne abbia più bisogno ai fini del trattamento, i dati personali sono necessari all'interessato per l'accertamento, l'esercizio o la difesa di un diritto in sede giudiziaria; d) l'interessato si è opposto al trattamento ai sensi dell'articolo 21, paragrafo 1, in attesa della verifica in merito all'eventuale prevalenza dei motivi legittimi del Titolare del Trattamento rispetto a quelli dell'interessato. 2. 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w:t>
      </w:r>
      <w:r w:rsidRPr="0099073B">
        <w:rPr>
          <w:rFonts w:asciiTheme="minorHAnsi" w:eastAsia="Cambria" w:hAnsiTheme="minorHAnsi" w:cstheme="minorHAnsi"/>
          <w:lang w:eastAsia="en-US"/>
        </w:rPr>
        <w:lastRenderedPageBreak/>
        <w:t>o di uno Stato membro. L 119/44 IT Gazzetta ufficiale dell'Unione europea 4.5.2016 3. L'interessato che ha ottenuto la limitazione del trattamento a norma del paragrafo 1 è informato dal Titolare del Trattamento prima che detta limitazione sia revocata.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 xml:space="preserve">Art 19 – Diritto di ottenere la notifica dal Titolare del Trattamento nei casi di rettifica o cancellazione dei dati personali o di cancellazione degli stessi - </w:t>
      </w:r>
      <w:r w:rsidRPr="0099073B">
        <w:rPr>
          <w:rFonts w:asciiTheme="minorHAnsi" w:eastAsia="Cambria" w:hAnsiTheme="minorHAnsi" w:cstheme="minorHAnsi"/>
          <w:lang w:eastAsia="en-US"/>
        </w:rPr>
        <w:t>Il Titolare del Trattamento comunica a ciascuno dei destinatari cui sono stati trasmessi i dati personali le eventuali rettifiche o cancellazioni o limitazioni del trattamento effettuate a norma dell'articolo 16, dell'articolo 17, paragrafo 1, e dell'articolo 18, salvo che ciò si riveli impossibile o implichi uno sforzo sproporzionato. Il Titolare del Trattamento comunica all'interessato tali destinatari qualora l'interessato lo richieda.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 xml:space="preserve">Art 20 – Diritto alla portabilità - </w:t>
      </w:r>
      <w:r w:rsidRPr="0099073B">
        <w:rPr>
          <w:rFonts w:asciiTheme="minorHAnsi" w:eastAsia="Cambria" w:hAnsiTheme="minorHAnsi" w:cstheme="minorHAnsi"/>
          <w:lang w:eastAsia="en-US"/>
        </w:rPr>
        <w:t>1.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a) il trattamento si basi sul consenso ai sensi dell'articolo 6, paragrafo 1, lettera a), o dell'articolo 9, paragrafo 2, lettera a), o su un contratto ai sensi dell'articolo 6, paragrafo 1, lettera b); e b) il trattamento sia effettuato con mezzi automatizzati. 2. Nell'esercitare i propri diritti relativamente alla portabilità dei dati a norma del paragrafo 1, l'interessato ha il diritto di ottenere la trasmissione diretta dei dati personali da un Titolare del Trattamento all'altro, se tecnicamente fattibile. 3. 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 4. Il diritto di cui al paragrafo 1 non deve ledere i diritti e le libertà altrui.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 xml:space="preserve">Art 21 – Diritto di opposizione - </w:t>
      </w:r>
      <w:r w:rsidRPr="0099073B">
        <w:rPr>
          <w:rFonts w:asciiTheme="minorHAnsi" w:eastAsia="Cambria" w:hAnsiTheme="minorHAnsi" w:cstheme="minorHAnsi"/>
          <w:lang w:eastAsia="en-US"/>
        </w:rPr>
        <w:t>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2. 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 diretto. 3. Qualora l'interessato si opponga al trattamento per finalità di marketing diretto, i dati personali non sono più oggetto di trattamento per tali finalità. 4.5.2016 IT Gazzetta ufficiale dell'Unione europea L 119/45 4. Il diritto di cui ai paragrafi 1 e 2 è esplicitamente portato all'attenzione dell'interessato ed è presentato chiaramente e separatamente da qualsiasi altra informazione al più tardi al momento della prima comunicazione con l'interessato. 5. Nel contesto dell'utilizzo di servizi della società dell'informazione e fatta salva la direttiva 2002/58/CE, l'interessato può esercitare il proprio diritto di opposizione con mezzi automatizzati che utilizzano specifiche tecniche. 6.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 pubblico.</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Art 22 – Diritto di rifiutare il processo automatizzato -</w:t>
      </w:r>
      <w:r w:rsidRPr="0099073B">
        <w:rPr>
          <w:rFonts w:asciiTheme="minorHAnsi" w:eastAsia="Cambria" w:hAnsiTheme="minorHAnsi" w:cstheme="minorHAnsi"/>
          <w:lang w:eastAsia="en-US"/>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2. Il paragrafo 1 non si applica nel caso in cui la decisione: a) sia necessaria per la conclusione o l'esecuzione di un contratto tra l'interessato e un Titolare del Trattamento; b) sia autorizzata dal diritto dell'Unione o dello Stato membro cui è soggetto il Titolare del Trattamento, che precisa altresì misure adeguate a tutela dei diritti, delle libertà e dei legittimi interessi dell'interessato; c) si basi sul consenso esplicito dell'interessato. 3. Nei casi di cui al paragrafo 2, lettere a) e c), il Titolare del Trattamento attua misure appropriate per tutelare i diritti, le libertà e i legittimi interessi dell'interessato, almeno il diritto di ottenere l'intervento </w:t>
      </w:r>
      <w:r w:rsidRPr="0099073B">
        <w:rPr>
          <w:rFonts w:asciiTheme="minorHAnsi" w:eastAsia="Cambria" w:hAnsiTheme="minorHAnsi" w:cstheme="minorHAnsi"/>
          <w:lang w:eastAsia="en-US"/>
        </w:rPr>
        <w:lastRenderedPageBreak/>
        <w:t>umano da parte del Titolare del Trattamento, di esprimere la propria opinione e di contestare la decisione. 4. Le decisioni di cui al paragrafo 2 non si basano sulle categorie particolari di dati personali di cui all'articolo 9, paragrafo 1, a meno che non sia d'applicazione l'articolo 9, paragrafo 2, lettere a) o g), e non siano in vigore misure adeguate a tutela dei diritti, delle libertà e dei legittimi interessi dell'interessato.</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In tal senso viene consentito all’interessato di accedere ai propri dati per:</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verificarne la veridicità;</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modificarli nel caso divengano inesatti;</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integrarli anche con dichiarazione integrativa;</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richiederne la cancellazione;</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limitarne il trattamento;</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opporsi al trattamento.</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Il Titolare del Trattamento è obbligato a rispondere senza ingiustificato motivo.</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t>Cancellazione dei dati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La Società consortile GAL in osservanza al corrispondente diritto di accesso all’interessato, ha predisposto procedure per le quali gli interessati possano richiedere la cancellazione senza ingiustificato ritardo dei dati personali o la limitazione del trattamento dei dati personali che li riguardano per i seguenti motivi:</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perché i dati non sono più necessari per le finalità per le quali erano stati raccolti;</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perché l’interessato ha revocato il consenso;</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perché l’interessato si oppone al trattamento;</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perché i dati sono trattati in maniera illecita.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 xml:space="preserve">Per esercitare i diritti previsti dagli artt. da 15 a 22 del Reg. Ue 679/16 l’interessato dovrà rivolgere apposita richiesta scritta indirizzata a: </w:t>
      </w:r>
      <w:r w:rsidRPr="0099073B">
        <w:rPr>
          <w:rFonts w:asciiTheme="minorHAnsi" w:eastAsia="Cambria" w:hAnsiTheme="minorHAnsi" w:cstheme="minorHAnsi"/>
          <w:b/>
          <w:i/>
          <w:u w:val="single"/>
          <w:lang w:eastAsia="en-US"/>
        </w:rPr>
        <w:t>galterraevita@pec.it</w:t>
      </w:r>
    </w:p>
    <w:p w:rsidR="00780514" w:rsidRPr="0099073B" w:rsidRDefault="00780514" w:rsidP="00780514">
      <w:pPr>
        <w:widowControl/>
        <w:jc w:val="both"/>
        <w:rPr>
          <w:rFonts w:asciiTheme="minorHAnsi" w:eastAsia="Cambria" w:hAnsiTheme="minorHAnsi" w:cstheme="minorHAnsi"/>
          <w:sz w:val="18"/>
          <w:szCs w:val="18"/>
          <w:lang w:eastAsia="en-US"/>
        </w:rPr>
      </w:pPr>
    </w:p>
    <w:p w:rsidR="00780514" w:rsidRPr="0099073B" w:rsidRDefault="00780514" w:rsidP="00E77A22">
      <w:pPr>
        <w:widowControl/>
        <w:jc w:val="right"/>
        <w:rPr>
          <w:rFonts w:asciiTheme="minorHAnsi" w:eastAsia="Cambria" w:hAnsiTheme="minorHAnsi" w:cstheme="minorHAnsi"/>
          <w:b/>
          <w:i/>
          <w:sz w:val="18"/>
          <w:szCs w:val="18"/>
          <w:lang w:eastAsia="en-US"/>
        </w:rPr>
      </w:pPr>
      <w:r w:rsidRPr="0099073B">
        <w:rPr>
          <w:rFonts w:asciiTheme="minorHAnsi" w:eastAsia="Cambria" w:hAnsiTheme="minorHAnsi" w:cstheme="minorHAnsi"/>
          <w:b/>
          <w:i/>
          <w:sz w:val="18"/>
          <w:szCs w:val="18"/>
          <w:lang w:eastAsia="en-US"/>
        </w:rPr>
        <w:t>GAL – Gruppo di Azione Locale Irno – Cavese</w:t>
      </w:r>
    </w:p>
    <w:p w:rsidR="00780514" w:rsidRPr="0099073B" w:rsidRDefault="00780514" w:rsidP="00780514">
      <w:pPr>
        <w:widowControl/>
        <w:rPr>
          <w:rFonts w:asciiTheme="minorHAnsi" w:eastAsia="Cambria" w:hAnsiTheme="minorHAnsi" w:cstheme="minorHAnsi"/>
          <w:b/>
          <w:sz w:val="18"/>
          <w:szCs w:val="18"/>
          <w:lang w:eastAsia="en-US"/>
        </w:rPr>
      </w:pPr>
    </w:p>
    <w:p w:rsidR="00780514" w:rsidRPr="0099073B" w:rsidRDefault="00780514" w:rsidP="00780514">
      <w:pPr>
        <w:widowControl/>
        <w:rPr>
          <w:rFonts w:asciiTheme="minorHAnsi" w:eastAsia="Cambria" w:hAnsiTheme="minorHAnsi" w:cstheme="minorHAnsi"/>
          <w:b/>
          <w:sz w:val="18"/>
          <w:szCs w:val="18"/>
          <w:lang w:eastAsia="en-US"/>
        </w:rPr>
      </w:pPr>
    </w:p>
    <w:p w:rsidR="00780514" w:rsidRPr="0099073B" w:rsidRDefault="00780514" w:rsidP="00780514">
      <w:pPr>
        <w:widowControl/>
        <w:rPr>
          <w:rFonts w:asciiTheme="minorHAnsi" w:eastAsia="Cambria" w:hAnsiTheme="minorHAnsi" w:cstheme="minorHAnsi"/>
          <w:b/>
          <w:sz w:val="18"/>
          <w:szCs w:val="18"/>
          <w:lang w:eastAsia="en-US"/>
        </w:rPr>
      </w:pPr>
    </w:p>
    <w:p w:rsidR="00780514" w:rsidRPr="0099073B" w:rsidRDefault="00780514" w:rsidP="00780514">
      <w:pPr>
        <w:widowControl/>
        <w:rPr>
          <w:rFonts w:asciiTheme="minorHAnsi" w:eastAsia="Cambria" w:hAnsiTheme="minorHAnsi" w:cstheme="minorHAnsi"/>
          <w:b/>
          <w:sz w:val="18"/>
          <w:szCs w:val="18"/>
          <w:lang w:eastAsia="en-US"/>
        </w:rPr>
      </w:pPr>
    </w:p>
    <w:p w:rsidR="00780514" w:rsidRPr="0099073B" w:rsidRDefault="00780514" w:rsidP="00780514">
      <w:pPr>
        <w:widowControl/>
        <w:rPr>
          <w:rFonts w:asciiTheme="minorHAnsi" w:eastAsia="Cambria" w:hAnsiTheme="minorHAnsi" w:cstheme="minorHAnsi"/>
          <w:b/>
          <w:sz w:val="18"/>
          <w:szCs w:val="18"/>
          <w:lang w:eastAsia="en-US"/>
        </w:rPr>
      </w:pPr>
    </w:p>
    <w:p w:rsidR="00780514" w:rsidRPr="0099073B" w:rsidRDefault="00780514" w:rsidP="00E77A22">
      <w:pPr>
        <w:widowControl/>
        <w:jc w:val="center"/>
        <w:rPr>
          <w:rFonts w:asciiTheme="minorHAnsi" w:eastAsia="Cambria" w:hAnsiTheme="minorHAnsi" w:cstheme="minorHAnsi"/>
          <w:sz w:val="18"/>
          <w:szCs w:val="18"/>
          <w:lang w:eastAsia="en-US"/>
        </w:rPr>
      </w:pPr>
      <w:r w:rsidRPr="0099073B">
        <w:rPr>
          <w:rFonts w:asciiTheme="minorHAnsi" w:eastAsia="Cambria" w:hAnsiTheme="minorHAnsi" w:cstheme="minorHAnsi"/>
          <w:b/>
          <w:sz w:val="18"/>
          <w:szCs w:val="18"/>
          <w:lang w:eastAsia="en-US"/>
        </w:rPr>
        <w:t>Firma per presa visione e consenso</w:t>
      </w:r>
    </w:p>
    <w:p w:rsidR="00780514" w:rsidRPr="0099073B" w:rsidRDefault="00780514" w:rsidP="00780514">
      <w:pPr>
        <w:widowControl/>
        <w:rPr>
          <w:rFonts w:asciiTheme="minorHAnsi" w:eastAsia="Cambria" w:hAnsiTheme="minorHAnsi" w:cstheme="minorHAnsi"/>
          <w:sz w:val="18"/>
          <w:szCs w:val="18"/>
          <w:lang w:eastAsia="en-US"/>
        </w:rPr>
      </w:pPr>
    </w:p>
    <w:p w:rsidR="00780514" w:rsidRPr="0099073B" w:rsidRDefault="00780514" w:rsidP="00780514">
      <w:pPr>
        <w:widowControl/>
        <w:rPr>
          <w:rFonts w:asciiTheme="minorHAnsi" w:eastAsia="Cambria" w:hAnsiTheme="minorHAnsi" w:cstheme="minorHAnsi"/>
          <w:sz w:val="18"/>
          <w:szCs w:val="18"/>
          <w:lang w:eastAsia="en-US"/>
        </w:rPr>
      </w:pPr>
      <w:r w:rsidRPr="0099073B">
        <w:rPr>
          <w:rFonts w:asciiTheme="minorHAnsi" w:eastAsia="Cambria" w:hAnsiTheme="minorHAnsi" w:cstheme="minorHAnsi"/>
          <w:sz w:val="18"/>
          <w:szCs w:val="18"/>
          <w:lang w:eastAsia="en-US"/>
        </w:rPr>
        <w:tab/>
      </w:r>
      <w:r w:rsidRPr="0099073B">
        <w:rPr>
          <w:rFonts w:asciiTheme="minorHAnsi" w:eastAsia="Cambria" w:hAnsiTheme="minorHAnsi" w:cstheme="minorHAnsi"/>
          <w:sz w:val="18"/>
          <w:szCs w:val="18"/>
          <w:lang w:eastAsia="en-US"/>
        </w:rPr>
        <w:tab/>
      </w:r>
      <w:r w:rsidRPr="0099073B">
        <w:rPr>
          <w:rFonts w:asciiTheme="minorHAnsi" w:eastAsia="Cambria" w:hAnsiTheme="minorHAnsi" w:cstheme="minorHAnsi"/>
          <w:sz w:val="18"/>
          <w:szCs w:val="18"/>
          <w:lang w:eastAsia="en-US"/>
        </w:rPr>
        <w:tab/>
      </w:r>
      <w:r w:rsidRPr="0099073B">
        <w:rPr>
          <w:rFonts w:asciiTheme="minorHAnsi" w:eastAsia="Cambria" w:hAnsiTheme="minorHAnsi" w:cstheme="minorHAnsi"/>
          <w:sz w:val="18"/>
          <w:szCs w:val="18"/>
          <w:lang w:eastAsia="en-US"/>
        </w:rPr>
        <w:tab/>
        <w:t>____________________________________________</w:t>
      </w:r>
    </w:p>
    <w:p w:rsidR="00134AF8" w:rsidRPr="0099073B" w:rsidRDefault="00134AF8">
      <w:pPr>
        <w:pStyle w:val="Standard"/>
        <w:spacing w:after="0" w:line="240" w:lineRule="auto"/>
        <w:jc w:val="center"/>
        <w:rPr>
          <w:rFonts w:asciiTheme="minorHAnsi" w:hAnsiTheme="minorHAnsi" w:cstheme="minorHAnsi"/>
          <w:b/>
          <w:lang w:eastAsia="it-IT"/>
        </w:rPr>
      </w:pPr>
    </w:p>
    <w:sectPr w:rsidR="00134AF8" w:rsidRPr="0099073B" w:rsidSect="00F50035">
      <w:headerReference w:type="default" r:id="rId7"/>
      <w:footerReference w:type="default" r:id="rId8"/>
      <w:pgSz w:w="11906" w:h="16838"/>
      <w:pgMar w:top="720" w:right="1134" w:bottom="1134" w:left="1134" w:header="720" w:footer="1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C26" w:rsidRDefault="00E26C26">
      <w:r>
        <w:separator/>
      </w:r>
    </w:p>
  </w:endnote>
  <w:endnote w:type="continuationSeparator" w:id="0">
    <w:p w:rsidR="00E26C26" w:rsidRDefault="00E2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OpenSymbol">
    <w:panose1 w:val="05010000000000000000"/>
    <w:charset w:val="02"/>
    <w:family w:val="auto"/>
    <w:pitch w:val="variable"/>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5B5" w:rsidRDefault="000B5334">
    <w:pPr>
      <w:pStyle w:val="Pidipagina"/>
    </w:pPr>
    <w:r>
      <w:fldChar w:fldCharType="begin"/>
    </w:r>
    <w:r w:rsidR="008C27CE">
      <w:instrText xml:space="preserve"> PAGE </w:instrText>
    </w:r>
    <w:r>
      <w:fldChar w:fldCharType="separate"/>
    </w:r>
    <w:r w:rsidR="00CE407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C26" w:rsidRDefault="00E26C26">
      <w:r>
        <w:rPr>
          <w:color w:val="000000"/>
        </w:rPr>
        <w:separator/>
      </w:r>
    </w:p>
  </w:footnote>
  <w:footnote w:type="continuationSeparator" w:id="0">
    <w:p w:rsidR="00E26C26" w:rsidRDefault="00E26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78" w:type="dxa"/>
      <w:jc w:val="center"/>
      <w:tblCellMar>
        <w:left w:w="10" w:type="dxa"/>
        <w:right w:w="10" w:type="dxa"/>
      </w:tblCellMar>
      <w:tblLook w:val="0000" w:firstRow="0" w:lastRow="0" w:firstColumn="0" w:lastColumn="0" w:noHBand="0" w:noVBand="0"/>
    </w:tblPr>
    <w:tblGrid>
      <w:gridCol w:w="3516"/>
      <w:gridCol w:w="1235"/>
      <w:gridCol w:w="1730"/>
      <w:gridCol w:w="2997"/>
    </w:tblGrid>
    <w:tr w:rsidR="00E11310" w:rsidTr="006E04D7">
      <w:trPr>
        <w:trHeight w:val="1266"/>
        <w:jc w:val="center"/>
      </w:trPr>
      <w:tc>
        <w:tcPr>
          <w:tcW w:w="3516" w:type="dxa"/>
          <w:shd w:val="clear" w:color="auto" w:fill="auto"/>
          <w:tcMar>
            <w:top w:w="0" w:type="dxa"/>
            <w:left w:w="108" w:type="dxa"/>
            <w:bottom w:w="0" w:type="dxa"/>
            <w:right w:w="108" w:type="dxa"/>
          </w:tcMar>
        </w:tcPr>
        <w:p w:rsidR="00E11310" w:rsidRDefault="00E11310" w:rsidP="006E04D7">
          <w:pPr>
            <w:suppressLineNumbers/>
            <w:tabs>
              <w:tab w:val="right" w:pos="9638"/>
            </w:tabs>
            <w:jc w:val="center"/>
          </w:pPr>
          <w:r>
            <w:rPr>
              <w:rFonts w:eastAsia="SimSun"/>
              <w:noProof/>
            </w:rPr>
            <w:drawing>
              <wp:inline distT="0" distB="0" distL="0" distR="0">
                <wp:extent cx="2095503" cy="723903"/>
                <wp:effectExtent l="0" t="0" r="0" b="0"/>
                <wp:docPr id="22" name="Immagine 15" descr="U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95503" cy="723903"/>
                        </a:xfrm>
                        <a:prstGeom prst="rect">
                          <a:avLst/>
                        </a:prstGeom>
                        <a:noFill/>
                        <a:ln>
                          <a:noFill/>
                          <a:prstDash/>
                        </a:ln>
                      </pic:spPr>
                    </pic:pic>
                  </a:graphicData>
                </a:graphic>
              </wp:inline>
            </w:drawing>
          </w:r>
        </w:p>
      </w:tc>
      <w:tc>
        <w:tcPr>
          <w:tcW w:w="1235" w:type="dxa"/>
          <w:shd w:val="clear" w:color="auto" w:fill="auto"/>
          <w:tcMar>
            <w:top w:w="0" w:type="dxa"/>
            <w:left w:w="108" w:type="dxa"/>
            <w:bottom w:w="0" w:type="dxa"/>
            <w:right w:w="108" w:type="dxa"/>
          </w:tcMar>
        </w:tcPr>
        <w:p w:rsidR="00E11310" w:rsidRDefault="00E11310" w:rsidP="00E11310">
          <w:pPr>
            <w:suppressLineNumbers/>
            <w:tabs>
              <w:tab w:val="center" w:pos="880"/>
            </w:tabs>
          </w:pPr>
          <w:r>
            <w:rPr>
              <w:rFonts w:eastAsia="SimSun" w:cs="F"/>
              <w:noProof/>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647696" cy="695328"/>
                <wp:effectExtent l="0" t="0" r="4" b="9522"/>
                <wp:wrapSquare wrapText="bothSides"/>
                <wp:docPr id="23" name="Immagin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47696" cy="695328"/>
                        </a:xfrm>
                        <a:prstGeom prst="rect">
                          <a:avLst/>
                        </a:prstGeom>
                        <a:noFill/>
                        <a:ln>
                          <a:noFill/>
                          <a:prstDash/>
                        </a:ln>
                      </pic:spPr>
                    </pic:pic>
                  </a:graphicData>
                </a:graphic>
              </wp:anchor>
            </w:drawing>
          </w:r>
        </w:p>
      </w:tc>
      <w:tc>
        <w:tcPr>
          <w:tcW w:w="1730" w:type="dxa"/>
          <w:shd w:val="clear" w:color="auto" w:fill="auto"/>
          <w:tcMar>
            <w:top w:w="0" w:type="dxa"/>
            <w:left w:w="108" w:type="dxa"/>
            <w:bottom w:w="0" w:type="dxa"/>
            <w:right w:w="108" w:type="dxa"/>
          </w:tcMar>
        </w:tcPr>
        <w:p w:rsidR="00E11310" w:rsidRDefault="00E11310" w:rsidP="00E11310">
          <w:pPr>
            <w:suppressLineNumbers/>
            <w:tabs>
              <w:tab w:val="center" w:pos="4819"/>
              <w:tab w:val="right" w:pos="9638"/>
            </w:tabs>
            <w:jc w:val="center"/>
          </w:pPr>
          <w:r>
            <w:rPr>
              <w:rFonts w:eastAsia="SimSun"/>
              <w:noProof/>
              <w:sz w:val="24"/>
            </w:rPr>
            <w:drawing>
              <wp:inline distT="0" distB="0" distL="0" distR="0">
                <wp:extent cx="962021" cy="704846"/>
                <wp:effectExtent l="0" t="0" r="0" b="4"/>
                <wp:docPr id="24" name="Immagine 17" descr="r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962021" cy="704846"/>
                        </a:xfrm>
                        <a:prstGeom prst="rect">
                          <a:avLst/>
                        </a:prstGeom>
                        <a:noFill/>
                        <a:ln>
                          <a:noFill/>
                          <a:prstDash/>
                        </a:ln>
                      </pic:spPr>
                    </pic:pic>
                  </a:graphicData>
                </a:graphic>
              </wp:inline>
            </w:drawing>
          </w:r>
        </w:p>
      </w:tc>
      <w:tc>
        <w:tcPr>
          <w:tcW w:w="2997" w:type="dxa"/>
          <w:shd w:val="clear" w:color="auto" w:fill="auto"/>
          <w:tcMar>
            <w:top w:w="0" w:type="dxa"/>
            <w:left w:w="108" w:type="dxa"/>
            <w:bottom w:w="0" w:type="dxa"/>
            <w:right w:w="108" w:type="dxa"/>
          </w:tcMar>
        </w:tcPr>
        <w:p w:rsidR="00E11310" w:rsidRDefault="006E04D7" w:rsidP="006E04D7">
          <w:pPr>
            <w:suppressLineNumbers/>
            <w:tabs>
              <w:tab w:val="center" w:pos="4819"/>
              <w:tab w:val="right" w:pos="9638"/>
            </w:tabs>
            <w:ind w:left="-317" w:right="-1090"/>
            <w:jc w:val="center"/>
          </w:pPr>
          <w:r>
            <w:rPr>
              <w:noProof/>
            </w:rPr>
            <w:drawing>
              <wp:anchor distT="0" distB="0" distL="114300" distR="114300" simplePos="0" relativeHeight="251661312" behindDoc="0" locked="0" layoutInCell="1" allowOverlap="1">
                <wp:simplePos x="0" y="0"/>
                <wp:positionH relativeFrom="column">
                  <wp:posOffset>1148715</wp:posOffset>
                </wp:positionH>
                <wp:positionV relativeFrom="page">
                  <wp:posOffset>133350</wp:posOffset>
                </wp:positionV>
                <wp:extent cx="838200" cy="431800"/>
                <wp:effectExtent l="0" t="0" r="0" b="635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431800"/>
                        </a:xfrm>
                        <a:prstGeom prst="rect">
                          <a:avLst/>
                        </a:prstGeom>
                        <a:noFill/>
                        <a:ln>
                          <a:noFill/>
                        </a:ln>
                      </pic:spPr>
                    </pic:pic>
                  </a:graphicData>
                </a:graphic>
              </wp:anchor>
            </w:drawing>
          </w:r>
          <w:r w:rsidR="00E11310">
            <w:rPr>
              <w:rFonts w:eastAsia="SimSun"/>
              <w:noProof/>
              <w:sz w:val="24"/>
            </w:rPr>
            <w:drawing>
              <wp:inline distT="0" distB="0" distL="0" distR="0">
                <wp:extent cx="495303" cy="704846"/>
                <wp:effectExtent l="0" t="0" r="0" b="4"/>
                <wp:docPr id="25" name="Immagine 18" descr="nuovo_PSR_mediu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495303" cy="704846"/>
                        </a:xfrm>
                        <a:prstGeom prst="rect">
                          <a:avLst/>
                        </a:prstGeom>
                        <a:noFill/>
                        <a:ln>
                          <a:noFill/>
                          <a:prstDash/>
                        </a:ln>
                      </pic:spPr>
                    </pic:pic>
                  </a:graphicData>
                </a:graphic>
              </wp:inline>
            </w:drawing>
          </w:r>
        </w:p>
      </w:tc>
    </w:tr>
  </w:tbl>
  <w:p w:rsidR="00E11310" w:rsidRDefault="00E1131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1F4"/>
    <w:multiLevelType w:val="multilevel"/>
    <w:tmpl w:val="803E4436"/>
    <w:styleLink w:val="WWNum19"/>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02495DD2"/>
    <w:multiLevelType w:val="multilevel"/>
    <w:tmpl w:val="1806E69E"/>
    <w:styleLink w:val="WWNum1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15:restartNumberingAfterBreak="0">
    <w:nsid w:val="04F029E9"/>
    <w:multiLevelType w:val="multilevel"/>
    <w:tmpl w:val="21B447E0"/>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15:restartNumberingAfterBreak="0">
    <w:nsid w:val="07EA39A8"/>
    <w:multiLevelType w:val="multilevel"/>
    <w:tmpl w:val="33D6142A"/>
    <w:styleLink w:val="WWNum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0AB03C6E"/>
    <w:multiLevelType w:val="multilevel"/>
    <w:tmpl w:val="1DD6FEF4"/>
    <w:styleLink w:val="WWNum16"/>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114E0CCC"/>
    <w:multiLevelType w:val="multilevel"/>
    <w:tmpl w:val="23908CE0"/>
    <w:styleLink w:val="WWNum9"/>
    <w:lvl w:ilvl="0">
      <w:numFmt w:val="bullet"/>
      <w:lvlText w:val=""/>
      <w:lvlJc w:val="left"/>
      <w:rPr>
        <w:rFonts w:ascii="Wingdings" w:hAnsi="Wingdings"/>
      </w:rPr>
    </w:lvl>
    <w:lvl w:ilvl="1">
      <w:numFmt w:val="bullet"/>
      <w:lvlText w:val=""/>
      <w:lvlJc w:val="left"/>
      <w:rPr>
        <w:rFonts w:ascii="Wingdings" w:hAnsi="Wingdings"/>
        <w:sz w:val="16"/>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12893E9E"/>
    <w:multiLevelType w:val="multilevel"/>
    <w:tmpl w:val="EE82888C"/>
    <w:styleLink w:val="WWNum25"/>
    <w:lvl w:ilvl="0">
      <w:numFmt w:val="bullet"/>
      <w:lvlText w:val="□"/>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48859F8"/>
    <w:multiLevelType w:val="multilevel"/>
    <w:tmpl w:val="A46898AC"/>
    <w:styleLink w:val="WWNum23"/>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1602758C"/>
    <w:multiLevelType w:val="multilevel"/>
    <w:tmpl w:val="BBF684AA"/>
    <w:styleLink w:val="WWNum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168D5438"/>
    <w:multiLevelType w:val="multilevel"/>
    <w:tmpl w:val="3FD40F82"/>
    <w:styleLink w:val="WWNum20"/>
    <w:lvl w:ilvl="0">
      <w:numFmt w:val="bullet"/>
      <w:lvlText w:val=""/>
      <w:lvlJc w:val="left"/>
      <w:rPr>
        <w:rFonts w:ascii="Wingdings" w:hAnsi="Wingdings"/>
      </w:rPr>
    </w:lvl>
    <w:lvl w:ilvl="1">
      <w:numFmt w:val="bullet"/>
      <w:lvlText w:val=""/>
      <w:lvlJc w:val="left"/>
      <w:rPr>
        <w:rFonts w:ascii="Wingdings" w:hAnsi="Wingdings"/>
        <w:sz w:val="16"/>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25B9700B"/>
    <w:multiLevelType w:val="multilevel"/>
    <w:tmpl w:val="258CF9B2"/>
    <w:styleLink w:val="WWNum21"/>
    <w:lvl w:ilvl="0">
      <w:numFmt w:val="bullet"/>
      <w:lvlText w:val="□"/>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2BA210A7"/>
    <w:multiLevelType w:val="multilevel"/>
    <w:tmpl w:val="2656FC08"/>
    <w:styleLink w:val="WWNum5"/>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39FF256E"/>
    <w:multiLevelType w:val="multilevel"/>
    <w:tmpl w:val="60B44FEA"/>
    <w:styleLink w:val="WWNum24"/>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3DD25F6E"/>
    <w:multiLevelType w:val="multilevel"/>
    <w:tmpl w:val="977E537A"/>
    <w:styleLink w:val="WWNum18"/>
    <w:lvl w:ilvl="0">
      <w:numFmt w:val="bullet"/>
      <w:lvlText w:val="-"/>
      <w:lvlJc w:val="left"/>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40694DF0"/>
    <w:multiLevelType w:val="multilevel"/>
    <w:tmpl w:val="7180956A"/>
    <w:styleLink w:val="WWNum17"/>
    <w:lvl w:ilvl="0">
      <w:numFmt w:val="bullet"/>
      <w:lvlText w:val="-"/>
      <w:lvlJc w:val="left"/>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15:restartNumberingAfterBreak="0">
    <w:nsid w:val="45481A2F"/>
    <w:multiLevelType w:val="multilevel"/>
    <w:tmpl w:val="57D88086"/>
    <w:styleLink w:val="WWNum6"/>
    <w:lvl w:ilvl="0">
      <w:numFmt w:val="bullet"/>
      <w:lvlText w:val=""/>
      <w:lvlJc w:val="left"/>
      <w:rPr>
        <w:rFonts w:ascii="Wingdings" w:hAnsi="Wingdings"/>
        <w:sz w:val="16"/>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532C062A"/>
    <w:multiLevelType w:val="multilevel"/>
    <w:tmpl w:val="2C725772"/>
    <w:styleLink w:val="WWNum1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56A5488A"/>
    <w:multiLevelType w:val="multilevel"/>
    <w:tmpl w:val="3F68C7E4"/>
    <w:styleLink w:val="WWNum8"/>
    <w:lvl w:ilvl="0">
      <w:numFmt w:val="bullet"/>
      <w:lvlText w:val=""/>
      <w:lvlJc w:val="left"/>
      <w:rPr>
        <w:rFonts w:ascii="Wingdings" w:hAnsi="Wingdings"/>
        <w:sz w:val="16"/>
      </w:rPr>
    </w:lvl>
    <w:lvl w:ilvl="1">
      <w:numFmt w:val="bullet"/>
      <w:lvlText w:val=""/>
      <w:lvlJc w:val="left"/>
      <w:rPr>
        <w:rFonts w:ascii="Wingdings" w:hAnsi="Wingdings"/>
        <w:sz w:val="16"/>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58736C7E"/>
    <w:multiLevelType w:val="multilevel"/>
    <w:tmpl w:val="EAA68FE2"/>
    <w:styleLink w:val="WWNum31"/>
    <w:lvl w:ilvl="0">
      <w:numFmt w:val="bullet"/>
      <w:lvlText w:val="-"/>
      <w:lvlJc w:val="left"/>
      <w:pPr>
        <w:ind w:left="720" w:hanging="360"/>
      </w:pPr>
      <w:rPr>
        <w:rFonts w:ascii="Arial" w:eastAsia="Cambria"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E576CAD"/>
    <w:multiLevelType w:val="multilevel"/>
    <w:tmpl w:val="C9E27D8A"/>
    <w:styleLink w:val="WWNum1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616D4B6E"/>
    <w:multiLevelType w:val="multilevel"/>
    <w:tmpl w:val="069AA512"/>
    <w:styleLink w:val="WWNum2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6C7F1A3F"/>
    <w:multiLevelType w:val="multilevel"/>
    <w:tmpl w:val="37AC3674"/>
    <w:styleLink w:val="WWNum4"/>
    <w:lvl w:ilvl="0">
      <w:numFmt w:val="bullet"/>
      <w:lvlText w:val=""/>
      <w:lvlJc w:val="left"/>
      <w:rPr>
        <w:rFonts w:ascii="Wingdings" w:hAnsi="Wingdings"/>
      </w:rPr>
    </w:lvl>
    <w:lvl w:ilvl="1">
      <w:numFmt w:val="bullet"/>
      <w:lvlText w:val=""/>
      <w:lvlJc w:val="left"/>
      <w:rPr>
        <w:rFonts w:ascii="Wingdings" w:hAnsi="Wingdings"/>
        <w:sz w:val="16"/>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701A6DD8"/>
    <w:multiLevelType w:val="multilevel"/>
    <w:tmpl w:val="983816CC"/>
    <w:styleLink w:val="WWNum26"/>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73FE236C"/>
    <w:multiLevelType w:val="multilevel"/>
    <w:tmpl w:val="3550C59E"/>
    <w:styleLink w:val="WWNum11"/>
    <w:lvl w:ilvl="0">
      <w:numFmt w:val="bullet"/>
      <w:lvlText w:val=""/>
      <w:lvlJc w:val="left"/>
      <w:rPr>
        <w:rFonts w:ascii="Wingdings" w:hAnsi="Wingdings"/>
        <w:sz w:val="16"/>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767E24A0"/>
    <w:multiLevelType w:val="multilevel"/>
    <w:tmpl w:val="A12CB374"/>
    <w:styleLink w:val="WWNum10"/>
    <w:lvl w:ilvl="0">
      <w:numFmt w:val="bullet"/>
      <w:lvlText w:val=""/>
      <w:lvlJc w:val="left"/>
      <w:rPr>
        <w:rFonts w:ascii="Wingdings" w:hAnsi="Wingdings"/>
        <w:sz w:val="16"/>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76D33F5D"/>
    <w:multiLevelType w:val="multilevel"/>
    <w:tmpl w:val="3E6AF3DE"/>
    <w:styleLink w:val="WW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7F0415BC"/>
    <w:multiLevelType w:val="multilevel"/>
    <w:tmpl w:val="0A3C21A4"/>
    <w:styleLink w:val="WWNum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7F727B6A"/>
    <w:multiLevelType w:val="multilevel"/>
    <w:tmpl w:val="C7B4F448"/>
    <w:lvl w:ilvl="0">
      <w:start w:val="1"/>
      <w:numFmt w:val="bullet"/>
      <w:lvlText w:val="□"/>
      <w:lvlJc w:val="left"/>
      <w:pPr>
        <w:ind w:left="720" w:hanging="360"/>
      </w:pPr>
      <w:rPr>
        <w:rFonts w:ascii="Century Gothic" w:hAnsi="Century Gothic" w:hint="default"/>
        <w:sz w:val="32"/>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8"/>
  </w:num>
  <w:num w:numId="2">
    <w:abstractNumId w:val="26"/>
  </w:num>
  <w:num w:numId="3">
    <w:abstractNumId w:val="3"/>
  </w:num>
  <w:num w:numId="4">
    <w:abstractNumId w:val="21"/>
  </w:num>
  <w:num w:numId="5">
    <w:abstractNumId w:val="11"/>
  </w:num>
  <w:num w:numId="6">
    <w:abstractNumId w:val="15"/>
  </w:num>
  <w:num w:numId="7">
    <w:abstractNumId w:val="2"/>
  </w:num>
  <w:num w:numId="8">
    <w:abstractNumId w:val="17"/>
  </w:num>
  <w:num w:numId="9">
    <w:abstractNumId w:val="5"/>
  </w:num>
  <w:num w:numId="10">
    <w:abstractNumId w:val="24"/>
  </w:num>
  <w:num w:numId="11">
    <w:abstractNumId w:val="23"/>
  </w:num>
  <w:num w:numId="12">
    <w:abstractNumId w:val="19"/>
  </w:num>
  <w:num w:numId="13">
    <w:abstractNumId w:val="16"/>
  </w:num>
  <w:num w:numId="14">
    <w:abstractNumId w:val="1"/>
  </w:num>
  <w:num w:numId="15">
    <w:abstractNumId w:val="25"/>
  </w:num>
  <w:num w:numId="16">
    <w:abstractNumId w:val="4"/>
  </w:num>
  <w:num w:numId="17">
    <w:abstractNumId w:val="14"/>
  </w:num>
  <w:num w:numId="18">
    <w:abstractNumId w:val="13"/>
  </w:num>
  <w:num w:numId="19">
    <w:abstractNumId w:val="0"/>
  </w:num>
  <w:num w:numId="20">
    <w:abstractNumId w:val="9"/>
  </w:num>
  <w:num w:numId="21">
    <w:abstractNumId w:val="10"/>
  </w:num>
  <w:num w:numId="22">
    <w:abstractNumId w:val="20"/>
  </w:num>
  <w:num w:numId="23">
    <w:abstractNumId w:val="7"/>
  </w:num>
  <w:num w:numId="24">
    <w:abstractNumId w:val="12"/>
  </w:num>
  <w:num w:numId="25">
    <w:abstractNumId w:val="6"/>
  </w:num>
  <w:num w:numId="26">
    <w:abstractNumId w:val="22"/>
  </w:num>
  <w:num w:numId="27">
    <w:abstractNumId w:val="25"/>
  </w:num>
  <w:num w:numId="28">
    <w:abstractNumId w:val="2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4AF8"/>
    <w:rsid w:val="000179C8"/>
    <w:rsid w:val="000B5334"/>
    <w:rsid w:val="00134AF8"/>
    <w:rsid w:val="00210846"/>
    <w:rsid w:val="00490200"/>
    <w:rsid w:val="0052713C"/>
    <w:rsid w:val="00533A44"/>
    <w:rsid w:val="005D41C9"/>
    <w:rsid w:val="006E04D7"/>
    <w:rsid w:val="00737F05"/>
    <w:rsid w:val="007552E2"/>
    <w:rsid w:val="00780514"/>
    <w:rsid w:val="007E3DF4"/>
    <w:rsid w:val="008C27CE"/>
    <w:rsid w:val="00915DEE"/>
    <w:rsid w:val="009255E4"/>
    <w:rsid w:val="0099073B"/>
    <w:rsid w:val="00CE4071"/>
    <w:rsid w:val="00E11310"/>
    <w:rsid w:val="00E1229E"/>
    <w:rsid w:val="00E1647F"/>
    <w:rsid w:val="00E26C26"/>
    <w:rsid w:val="00E77A22"/>
    <w:rsid w:val="00F50035"/>
    <w:rsid w:val="00FC2F5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53C7"/>
  <w15:docId w15:val="{D6636C62-D37D-4CD4-B32A-D3990DD8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sz w:val="22"/>
        <w:szCs w:val="22"/>
        <w:lang w:val="it-IT" w:eastAsia="it-I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F50035"/>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50035"/>
    <w:pPr>
      <w:widowControl/>
      <w:suppressAutoHyphens/>
      <w:spacing w:after="200" w:line="276" w:lineRule="auto"/>
    </w:pPr>
    <w:rPr>
      <w:lang w:eastAsia="en-US"/>
    </w:rPr>
  </w:style>
  <w:style w:type="paragraph" w:customStyle="1" w:styleId="Heading">
    <w:name w:val="Heading"/>
    <w:basedOn w:val="Standard"/>
    <w:next w:val="Textbody"/>
    <w:rsid w:val="00F50035"/>
    <w:pPr>
      <w:keepNext/>
      <w:spacing w:before="240" w:after="120"/>
    </w:pPr>
    <w:rPr>
      <w:rFonts w:ascii="Arial" w:eastAsia="Microsoft YaHei" w:hAnsi="Arial" w:cs="Mangal"/>
      <w:sz w:val="28"/>
      <w:szCs w:val="28"/>
    </w:rPr>
  </w:style>
  <w:style w:type="paragraph" w:customStyle="1" w:styleId="Textbody">
    <w:name w:val="Text body"/>
    <w:basedOn w:val="Standard"/>
    <w:rsid w:val="00F50035"/>
    <w:pPr>
      <w:spacing w:after="0" w:line="240" w:lineRule="auto"/>
      <w:jc w:val="center"/>
    </w:pPr>
    <w:rPr>
      <w:rFonts w:ascii="Times New Roman" w:eastAsia="Times New Roman" w:hAnsi="Times New Roman"/>
      <w:sz w:val="24"/>
      <w:szCs w:val="24"/>
      <w:lang w:eastAsia="ar-SA"/>
    </w:rPr>
  </w:style>
  <w:style w:type="paragraph" w:styleId="Elenco">
    <w:name w:val="List"/>
    <w:basedOn w:val="Textbody"/>
    <w:rsid w:val="00F50035"/>
    <w:rPr>
      <w:rFonts w:cs="Mangal"/>
    </w:rPr>
  </w:style>
  <w:style w:type="paragraph" w:styleId="Didascalia">
    <w:name w:val="caption"/>
    <w:basedOn w:val="Standard"/>
    <w:rsid w:val="00F50035"/>
    <w:pPr>
      <w:suppressLineNumbers/>
      <w:spacing w:before="120" w:after="120"/>
    </w:pPr>
    <w:rPr>
      <w:rFonts w:cs="Mangal"/>
      <w:i/>
      <w:iCs/>
      <w:sz w:val="24"/>
      <w:szCs w:val="24"/>
    </w:rPr>
  </w:style>
  <w:style w:type="paragraph" w:customStyle="1" w:styleId="Index">
    <w:name w:val="Index"/>
    <w:basedOn w:val="Standard"/>
    <w:rsid w:val="00F50035"/>
    <w:pPr>
      <w:suppressLineNumbers/>
    </w:pPr>
    <w:rPr>
      <w:rFonts w:cs="Mangal"/>
    </w:rPr>
  </w:style>
  <w:style w:type="paragraph" w:styleId="Paragrafoelenco">
    <w:name w:val="List Paragraph"/>
    <w:basedOn w:val="Standard"/>
    <w:rsid w:val="00F50035"/>
    <w:pPr>
      <w:ind w:left="720"/>
    </w:pPr>
  </w:style>
  <w:style w:type="paragraph" w:styleId="Pidipagina">
    <w:name w:val="footer"/>
    <w:basedOn w:val="Standard"/>
    <w:rsid w:val="00F50035"/>
    <w:pPr>
      <w:suppressLineNumbers/>
      <w:tabs>
        <w:tab w:val="center" w:pos="4819"/>
        <w:tab w:val="right" w:pos="9638"/>
      </w:tabs>
      <w:spacing w:after="0" w:line="240" w:lineRule="auto"/>
    </w:pPr>
  </w:style>
  <w:style w:type="paragraph" w:styleId="Testocommento">
    <w:name w:val="annotation text"/>
    <w:basedOn w:val="Standard"/>
    <w:rsid w:val="00F50035"/>
    <w:pPr>
      <w:spacing w:line="240" w:lineRule="auto"/>
    </w:pPr>
    <w:rPr>
      <w:sz w:val="20"/>
      <w:szCs w:val="20"/>
    </w:rPr>
  </w:style>
  <w:style w:type="paragraph" w:styleId="Soggettocommento">
    <w:name w:val="annotation subject"/>
    <w:basedOn w:val="Testocommento"/>
    <w:rsid w:val="00F50035"/>
    <w:rPr>
      <w:b/>
      <w:bCs/>
    </w:rPr>
  </w:style>
  <w:style w:type="paragraph" w:styleId="Testofumetto">
    <w:name w:val="Balloon Text"/>
    <w:basedOn w:val="Standard"/>
    <w:rsid w:val="00F50035"/>
    <w:pPr>
      <w:spacing w:after="0" w:line="240" w:lineRule="auto"/>
    </w:pPr>
    <w:rPr>
      <w:rFonts w:ascii="Segoe UI" w:hAnsi="Segoe UI" w:cs="Segoe UI"/>
      <w:sz w:val="18"/>
      <w:szCs w:val="18"/>
    </w:rPr>
  </w:style>
  <w:style w:type="paragraph" w:customStyle="1" w:styleId="TableContents">
    <w:name w:val="Table Contents"/>
    <w:basedOn w:val="Standard"/>
    <w:rsid w:val="00F50035"/>
    <w:pPr>
      <w:suppressLineNumbers/>
    </w:pPr>
  </w:style>
  <w:style w:type="paragraph" w:customStyle="1" w:styleId="Default">
    <w:name w:val="Default"/>
    <w:rsid w:val="00F50035"/>
    <w:pPr>
      <w:widowControl/>
      <w:suppressAutoHyphens/>
    </w:pPr>
    <w:rPr>
      <w:rFonts w:ascii="Arial" w:hAnsi="Arial" w:cs="Arial"/>
      <w:color w:val="000000"/>
      <w:sz w:val="24"/>
      <w:szCs w:val="24"/>
    </w:rPr>
  </w:style>
  <w:style w:type="character" w:customStyle="1" w:styleId="PidipaginaCarattere">
    <w:name w:val="Piè di pagina Carattere"/>
    <w:basedOn w:val="Carpredefinitoparagrafo"/>
    <w:rsid w:val="00F50035"/>
    <w:rPr>
      <w:rFonts w:ascii="Calibri" w:hAnsi="Calibri" w:cs="Times New Roman"/>
    </w:rPr>
  </w:style>
  <w:style w:type="character" w:styleId="Rimandocommento">
    <w:name w:val="annotation reference"/>
    <w:basedOn w:val="Carpredefinitoparagrafo"/>
    <w:rsid w:val="00F50035"/>
    <w:rPr>
      <w:rFonts w:cs="Times New Roman"/>
      <w:sz w:val="16"/>
      <w:szCs w:val="16"/>
    </w:rPr>
  </w:style>
  <w:style w:type="character" w:customStyle="1" w:styleId="TestocommentoCarattere">
    <w:name w:val="Testo commento Carattere"/>
    <w:basedOn w:val="Carpredefinitoparagrafo"/>
    <w:rsid w:val="00F50035"/>
    <w:rPr>
      <w:rFonts w:ascii="Calibri" w:hAnsi="Calibri" w:cs="Times New Roman"/>
      <w:sz w:val="20"/>
      <w:szCs w:val="20"/>
    </w:rPr>
  </w:style>
  <w:style w:type="character" w:customStyle="1" w:styleId="SoggettocommentoCarattere">
    <w:name w:val="Soggetto commento Carattere"/>
    <w:basedOn w:val="TestocommentoCarattere"/>
    <w:rsid w:val="00F50035"/>
    <w:rPr>
      <w:rFonts w:ascii="Calibri" w:hAnsi="Calibri" w:cs="Times New Roman"/>
      <w:b/>
      <w:bCs/>
      <w:sz w:val="20"/>
      <w:szCs w:val="20"/>
    </w:rPr>
  </w:style>
  <w:style w:type="character" w:customStyle="1" w:styleId="TestofumettoCarattere">
    <w:name w:val="Testo fumetto Carattere"/>
    <w:basedOn w:val="Carpredefinitoparagrafo"/>
    <w:rsid w:val="00F50035"/>
    <w:rPr>
      <w:rFonts w:ascii="Segoe UI" w:hAnsi="Segoe UI" w:cs="Segoe UI"/>
      <w:sz w:val="18"/>
      <w:szCs w:val="18"/>
    </w:rPr>
  </w:style>
  <w:style w:type="character" w:customStyle="1" w:styleId="CorpotestoCarattere">
    <w:name w:val="Corpo testo Carattere"/>
    <w:basedOn w:val="Carpredefinitoparagrafo"/>
    <w:rsid w:val="00F50035"/>
    <w:rPr>
      <w:rFonts w:ascii="Times New Roman" w:hAnsi="Times New Roman" w:cs="Times New Roman"/>
      <w:sz w:val="24"/>
      <w:szCs w:val="24"/>
      <w:lang w:eastAsia="ar-SA" w:bidi="ar-SA"/>
    </w:rPr>
  </w:style>
  <w:style w:type="character" w:customStyle="1" w:styleId="ParagrafoelencoCarattere">
    <w:name w:val="Paragrafo elenco Carattere"/>
    <w:rsid w:val="00F50035"/>
    <w:rPr>
      <w:lang w:eastAsia="en-US"/>
    </w:rPr>
  </w:style>
  <w:style w:type="character" w:customStyle="1" w:styleId="ListLabel1">
    <w:name w:val="ListLabel 1"/>
    <w:rsid w:val="00F50035"/>
    <w:rPr>
      <w:sz w:val="16"/>
    </w:rPr>
  </w:style>
  <w:style w:type="character" w:customStyle="1" w:styleId="ListLabel2">
    <w:name w:val="ListLabel 2"/>
    <w:rsid w:val="00F50035"/>
    <w:rPr>
      <w:rFonts w:cs="Times New Roman"/>
    </w:rPr>
  </w:style>
  <w:style w:type="character" w:customStyle="1" w:styleId="ListLabel3">
    <w:name w:val="ListLabel 3"/>
    <w:rsid w:val="00F50035"/>
    <w:rPr>
      <w:rFonts w:cs="Courier New"/>
    </w:rPr>
  </w:style>
  <w:style w:type="character" w:customStyle="1" w:styleId="Rimandonotaapidipagina1">
    <w:name w:val="Rimando nota a piè di pagina1"/>
    <w:rsid w:val="00F50035"/>
    <w:rPr>
      <w:position w:val="0"/>
      <w:vertAlign w:val="superscript"/>
    </w:rPr>
  </w:style>
  <w:style w:type="paragraph" w:styleId="Intestazione">
    <w:name w:val="header"/>
    <w:basedOn w:val="Normale"/>
    <w:link w:val="IntestazioneCarattere"/>
    <w:uiPriority w:val="99"/>
    <w:unhideWhenUsed/>
    <w:rsid w:val="00E11310"/>
    <w:pPr>
      <w:tabs>
        <w:tab w:val="center" w:pos="4819"/>
        <w:tab w:val="right" w:pos="9638"/>
      </w:tabs>
    </w:pPr>
  </w:style>
  <w:style w:type="character" w:customStyle="1" w:styleId="IntestazioneCarattere">
    <w:name w:val="Intestazione Carattere"/>
    <w:basedOn w:val="Carpredefinitoparagrafo"/>
    <w:link w:val="Intestazione"/>
    <w:uiPriority w:val="99"/>
    <w:rsid w:val="00E11310"/>
  </w:style>
  <w:style w:type="character" w:customStyle="1" w:styleId="BulletSymbols">
    <w:name w:val="Bullet Symbols"/>
    <w:rsid w:val="00F50035"/>
    <w:rPr>
      <w:rFonts w:ascii="OpenSymbol" w:eastAsia="OpenSymbol" w:hAnsi="OpenSymbol" w:cs="OpenSymbol"/>
    </w:rPr>
  </w:style>
  <w:style w:type="numbering" w:customStyle="1" w:styleId="WWNum1">
    <w:name w:val="WWNum1"/>
    <w:basedOn w:val="Nessunelenco"/>
    <w:rsid w:val="00F50035"/>
    <w:pPr>
      <w:numPr>
        <w:numId w:val="1"/>
      </w:numPr>
    </w:pPr>
  </w:style>
  <w:style w:type="numbering" w:customStyle="1" w:styleId="WWNum2">
    <w:name w:val="WWNum2"/>
    <w:basedOn w:val="Nessunelenco"/>
    <w:rsid w:val="00F50035"/>
    <w:pPr>
      <w:numPr>
        <w:numId w:val="2"/>
      </w:numPr>
    </w:pPr>
  </w:style>
  <w:style w:type="numbering" w:customStyle="1" w:styleId="WWNum3">
    <w:name w:val="WWNum3"/>
    <w:basedOn w:val="Nessunelenco"/>
    <w:rsid w:val="00F50035"/>
    <w:pPr>
      <w:numPr>
        <w:numId w:val="3"/>
      </w:numPr>
    </w:pPr>
  </w:style>
  <w:style w:type="numbering" w:customStyle="1" w:styleId="WWNum4">
    <w:name w:val="WWNum4"/>
    <w:basedOn w:val="Nessunelenco"/>
    <w:rsid w:val="00F50035"/>
    <w:pPr>
      <w:numPr>
        <w:numId w:val="4"/>
      </w:numPr>
    </w:pPr>
  </w:style>
  <w:style w:type="numbering" w:customStyle="1" w:styleId="WWNum5">
    <w:name w:val="WWNum5"/>
    <w:basedOn w:val="Nessunelenco"/>
    <w:rsid w:val="00F50035"/>
    <w:pPr>
      <w:numPr>
        <w:numId w:val="5"/>
      </w:numPr>
    </w:pPr>
  </w:style>
  <w:style w:type="numbering" w:customStyle="1" w:styleId="WWNum6">
    <w:name w:val="WWNum6"/>
    <w:basedOn w:val="Nessunelenco"/>
    <w:rsid w:val="00F50035"/>
    <w:pPr>
      <w:numPr>
        <w:numId w:val="6"/>
      </w:numPr>
    </w:pPr>
  </w:style>
  <w:style w:type="numbering" w:customStyle="1" w:styleId="WWNum7">
    <w:name w:val="WWNum7"/>
    <w:basedOn w:val="Nessunelenco"/>
    <w:rsid w:val="00F50035"/>
    <w:pPr>
      <w:numPr>
        <w:numId w:val="7"/>
      </w:numPr>
    </w:pPr>
  </w:style>
  <w:style w:type="numbering" w:customStyle="1" w:styleId="WWNum8">
    <w:name w:val="WWNum8"/>
    <w:basedOn w:val="Nessunelenco"/>
    <w:rsid w:val="00F50035"/>
    <w:pPr>
      <w:numPr>
        <w:numId w:val="8"/>
      </w:numPr>
    </w:pPr>
  </w:style>
  <w:style w:type="numbering" w:customStyle="1" w:styleId="WWNum9">
    <w:name w:val="WWNum9"/>
    <w:basedOn w:val="Nessunelenco"/>
    <w:rsid w:val="00F50035"/>
    <w:pPr>
      <w:numPr>
        <w:numId w:val="9"/>
      </w:numPr>
    </w:pPr>
  </w:style>
  <w:style w:type="numbering" w:customStyle="1" w:styleId="WWNum10">
    <w:name w:val="WWNum10"/>
    <w:basedOn w:val="Nessunelenco"/>
    <w:rsid w:val="00F50035"/>
    <w:pPr>
      <w:numPr>
        <w:numId w:val="10"/>
      </w:numPr>
    </w:pPr>
  </w:style>
  <w:style w:type="numbering" w:customStyle="1" w:styleId="WWNum11">
    <w:name w:val="WWNum11"/>
    <w:basedOn w:val="Nessunelenco"/>
    <w:rsid w:val="00F50035"/>
    <w:pPr>
      <w:numPr>
        <w:numId w:val="11"/>
      </w:numPr>
    </w:pPr>
  </w:style>
  <w:style w:type="numbering" w:customStyle="1" w:styleId="WWNum12">
    <w:name w:val="WWNum12"/>
    <w:basedOn w:val="Nessunelenco"/>
    <w:rsid w:val="00F50035"/>
    <w:pPr>
      <w:numPr>
        <w:numId w:val="12"/>
      </w:numPr>
    </w:pPr>
  </w:style>
  <w:style w:type="numbering" w:customStyle="1" w:styleId="WWNum13">
    <w:name w:val="WWNum13"/>
    <w:basedOn w:val="Nessunelenco"/>
    <w:rsid w:val="00F50035"/>
    <w:pPr>
      <w:numPr>
        <w:numId w:val="13"/>
      </w:numPr>
    </w:pPr>
  </w:style>
  <w:style w:type="numbering" w:customStyle="1" w:styleId="WWNum14">
    <w:name w:val="WWNum14"/>
    <w:basedOn w:val="Nessunelenco"/>
    <w:rsid w:val="00F50035"/>
    <w:pPr>
      <w:numPr>
        <w:numId w:val="14"/>
      </w:numPr>
    </w:pPr>
  </w:style>
  <w:style w:type="numbering" w:customStyle="1" w:styleId="WWNum15">
    <w:name w:val="WWNum15"/>
    <w:basedOn w:val="Nessunelenco"/>
    <w:rsid w:val="00F50035"/>
    <w:pPr>
      <w:numPr>
        <w:numId w:val="15"/>
      </w:numPr>
    </w:pPr>
  </w:style>
  <w:style w:type="numbering" w:customStyle="1" w:styleId="WWNum16">
    <w:name w:val="WWNum16"/>
    <w:basedOn w:val="Nessunelenco"/>
    <w:rsid w:val="00F50035"/>
    <w:pPr>
      <w:numPr>
        <w:numId w:val="16"/>
      </w:numPr>
    </w:pPr>
  </w:style>
  <w:style w:type="numbering" w:customStyle="1" w:styleId="WWNum17">
    <w:name w:val="WWNum17"/>
    <w:basedOn w:val="Nessunelenco"/>
    <w:rsid w:val="00F50035"/>
    <w:pPr>
      <w:numPr>
        <w:numId w:val="17"/>
      </w:numPr>
    </w:pPr>
  </w:style>
  <w:style w:type="numbering" w:customStyle="1" w:styleId="WWNum18">
    <w:name w:val="WWNum18"/>
    <w:basedOn w:val="Nessunelenco"/>
    <w:rsid w:val="00F50035"/>
    <w:pPr>
      <w:numPr>
        <w:numId w:val="18"/>
      </w:numPr>
    </w:pPr>
  </w:style>
  <w:style w:type="numbering" w:customStyle="1" w:styleId="WWNum19">
    <w:name w:val="WWNum19"/>
    <w:basedOn w:val="Nessunelenco"/>
    <w:rsid w:val="00F50035"/>
    <w:pPr>
      <w:numPr>
        <w:numId w:val="19"/>
      </w:numPr>
    </w:pPr>
  </w:style>
  <w:style w:type="numbering" w:customStyle="1" w:styleId="WWNum20">
    <w:name w:val="WWNum20"/>
    <w:basedOn w:val="Nessunelenco"/>
    <w:rsid w:val="00F50035"/>
    <w:pPr>
      <w:numPr>
        <w:numId w:val="20"/>
      </w:numPr>
    </w:pPr>
  </w:style>
  <w:style w:type="numbering" w:customStyle="1" w:styleId="WWNum21">
    <w:name w:val="WWNum21"/>
    <w:basedOn w:val="Nessunelenco"/>
    <w:rsid w:val="00F50035"/>
    <w:pPr>
      <w:numPr>
        <w:numId w:val="21"/>
      </w:numPr>
    </w:pPr>
  </w:style>
  <w:style w:type="numbering" w:customStyle="1" w:styleId="WWNum22">
    <w:name w:val="WWNum22"/>
    <w:basedOn w:val="Nessunelenco"/>
    <w:rsid w:val="00F50035"/>
    <w:pPr>
      <w:numPr>
        <w:numId w:val="22"/>
      </w:numPr>
    </w:pPr>
  </w:style>
  <w:style w:type="numbering" w:customStyle="1" w:styleId="WWNum23">
    <w:name w:val="WWNum23"/>
    <w:basedOn w:val="Nessunelenco"/>
    <w:rsid w:val="00F50035"/>
    <w:pPr>
      <w:numPr>
        <w:numId w:val="23"/>
      </w:numPr>
    </w:pPr>
  </w:style>
  <w:style w:type="numbering" w:customStyle="1" w:styleId="WWNum24">
    <w:name w:val="WWNum24"/>
    <w:basedOn w:val="Nessunelenco"/>
    <w:rsid w:val="00F50035"/>
    <w:pPr>
      <w:numPr>
        <w:numId w:val="24"/>
      </w:numPr>
    </w:pPr>
  </w:style>
  <w:style w:type="numbering" w:customStyle="1" w:styleId="WWNum25">
    <w:name w:val="WWNum25"/>
    <w:basedOn w:val="Nessunelenco"/>
    <w:rsid w:val="00F50035"/>
    <w:pPr>
      <w:numPr>
        <w:numId w:val="25"/>
      </w:numPr>
    </w:pPr>
  </w:style>
  <w:style w:type="numbering" w:customStyle="1" w:styleId="WWNum26">
    <w:name w:val="WWNum26"/>
    <w:basedOn w:val="Nessunelenco"/>
    <w:rsid w:val="00F50035"/>
    <w:pPr>
      <w:numPr>
        <w:numId w:val="26"/>
      </w:numPr>
    </w:pPr>
  </w:style>
  <w:style w:type="numbering" w:customStyle="1" w:styleId="WWNum31">
    <w:name w:val="WWNum31"/>
    <w:basedOn w:val="Nessunelenco"/>
    <w:rsid w:val="00780514"/>
    <w:pPr>
      <w:numPr>
        <w:numId w:val="29"/>
      </w:numPr>
    </w:pPr>
  </w:style>
  <w:style w:type="paragraph" w:styleId="Nessunaspaziatura">
    <w:name w:val="No Spacing"/>
    <w:uiPriority w:val="1"/>
    <w:qFormat/>
    <w:rsid w:val="00FC2F5B"/>
    <w:pPr>
      <w:widowControl/>
      <w:autoSpaceDN/>
      <w:textAlignment w:val="auto"/>
    </w:pPr>
    <w:rPr>
      <w:rFonts w:eastAsia="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2874</Words>
  <Characters>16388</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SALZANO</dc:creator>
  <cp:lastModifiedBy>Francesca</cp:lastModifiedBy>
  <cp:revision>6</cp:revision>
  <dcterms:created xsi:type="dcterms:W3CDTF">2019-02-21T09:11:00Z</dcterms:created>
  <dcterms:modified xsi:type="dcterms:W3CDTF">2019-03-19T16:23:00Z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