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8" w:rsidRPr="0099073B" w:rsidRDefault="008C27CE">
      <w:pPr>
        <w:pStyle w:val="Standard"/>
        <w:spacing w:after="0" w:line="240" w:lineRule="auto"/>
        <w:jc w:val="right"/>
        <w:rPr>
          <w:rFonts w:asciiTheme="minorHAnsi" w:hAnsiTheme="minorHAnsi" w:cstheme="minorHAnsi"/>
          <w:b/>
          <w:lang w:eastAsia="it-IT"/>
        </w:rPr>
      </w:pPr>
      <w:r w:rsidRPr="0099073B">
        <w:rPr>
          <w:rFonts w:asciiTheme="minorHAnsi" w:hAnsiTheme="minorHAnsi" w:cstheme="minorHAnsi"/>
          <w:b/>
          <w:lang w:eastAsia="it-IT"/>
        </w:rPr>
        <w:t xml:space="preserve">Allegato </w:t>
      </w:r>
      <w:r w:rsidR="00BB4D6C">
        <w:rPr>
          <w:rFonts w:asciiTheme="minorHAnsi" w:hAnsiTheme="minorHAnsi" w:cstheme="minorHAnsi"/>
          <w:b/>
          <w:lang w:eastAsia="it-IT"/>
        </w:rPr>
        <w:t>9</w:t>
      </w:r>
    </w:p>
    <w:p w:rsidR="00780514" w:rsidRPr="0099073B" w:rsidRDefault="00780514" w:rsidP="00780514">
      <w:pPr>
        <w:widowControl/>
        <w:spacing w:line="276" w:lineRule="auto"/>
        <w:ind w:left="993" w:hanging="993"/>
        <w:jc w:val="both"/>
        <w:rPr>
          <w:rFonts w:asciiTheme="minorHAnsi" w:hAnsiTheme="minorHAnsi" w:cstheme="minorHAnsi"/>
          <w:b/>
          <w:bCs/>
          <w:sz w:val="20"/>
          <w:szCs w:val="20"/>
          <w:lang w:eastAsia="en-US"/>
        </w:rPr>
      </w:pPr>
    </w:p>
    <w:p w:rsidR="00FC2F5B" w:rsidRPr="0052713C" w:rsidRDefault="00780514" w:rsidP="0052713C">
      <w:pPr>
        <w:pStyle w:val="Nessunaspaziatura"/>
        <w:pBdr>
          <w:top w:val="single" w:sz="4" w:space="1" w:color="auto"/>
          <w:left w:val="single" w:sz="4" w:space="4" w:color="auto"/>
          <w:bottom w:val="single" w:sz="4" w:space="1" w:color="auto"/>
          <w:right w:val="single" w:sz="4" w:space="4" w:color="auto"/>
        </w:pBdr>
        <w:spacing w:line="360" w:lineRule="auto"/>
        <w:jc w:val="both"/>
        <w:rPr>
          <w:rFonts w:asciiTheme="minorHAnsi" w:eastAsia="Century Gothic" w:hAnsiTheme="minorHAnsi" w:cstheme="minorHAnsi"/>
          <w:spacing w:val="-1"/>
          <w:sz w:val="24"/>
          <w:szCs w:val="24"/>
        </w:rPr>
      </w:pPr>
      <w:r w:rsidRPr="0099073B">
        <w:rPr>
          <w:rFonts w:asciiTheme="minorHAnsi" w:hAnsiTheme="minorHAnsi" w:cstheme="minorHAnsi"/>
          <w:b/>
          <w:bCs/>
          <w:sz w:val="24"/>
          <w:szCs w:val="24"/>
        </w:rPr>
        <w:t xml:space="preserve">Oggetto: </w:t>
      </w:r>
      <w:r w:rsidR="0099073B" w:rsidRPr="0099073B">
        <w:rPr>
          <w:rFonts w:asciiTheme="minorHAnsi" w:eastAsia="Century Gothic" w:hAnsiTheme="minorHAnsi" w:cstheme="minorHAnsi"/>
          <w:sz w:val="24"/>
          <w:szCs w:val="24"/>
        </w:rPr>
        <w:t>P</w:t>
      </w:r>
      <w:r w:rsidR="0099073B" w:rsidRPr="0099073B">
        <w:rPr>
          <w:rFonts w:asciiTheme="minorHAnsi" w:eastAsia="Century Gothic" w:hAnsiTheme="minorHAnsi" w:cstheme="minorHAnsi"/>
          <w:spacing w:val="-1"/>
          <w:sz w:val="24"/>
          <w:szCs w:val="24"/>
        </w:rPr>
        <w:t>S</w:t>
      </w:r>
      <w:r w:rsidR="0099073B" w:rsidRPr="0099073B">
        <w:rPr>
          <w:rFonts w:asciiTheme="minorHAnsi" w:eastAsia="Century Gothic" w:hAnsiTheme="minorHAnsi" w:cstheme="minorHAnsi"/>
          <w:sz w:val="24"/>
          <w:szCs w:val="24"/>
        </w:rPr>
        <w:t xml:space="preserve">R </w:t>
      </w:r>
      <w:r w:rsidR="0099073B" w:rsidRPr="0099073B">
        <w:rPr>
          <w:rFonts w:asciiTheme="minorHAnsi" w:eastAsia="Century Gothic" w:hAnsiTheme="minorHAnsi" w:cstheme="minorHAnsi"/>
          <w:spacing w:val="-1"/>
          <w:sz w:val="24"/>
          <w:szCs w:val="24"/>
        </w:rPr>
        <w:t>C</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z w:val="24"/>
          <w:szCs w:val="24"/>
        </w:rPr>
        <w:t>m</w:t>
      </w:r>
      <w:r w:rsidR="0099073B" w:rsidRPr="0099073B">
        <w:rPr>
          <w:rFonts w:asciiTheme="minorHAnsi" w:eastAsia="Century Gothic" w:hAnsiTheme="minorHAnsi" w:cstheme="minorHAnsi"/>
          <w:spacing w:val="1"/>
          <w:sz w:val="24"/>
          <w:szCs w:val="24"/>
        </w:rPr>
        <w:t>pani</w:t>
      </w:r>
      <w:r w:rsidR="0099073B" w:rsidRPr="0099073B">
        <w:rPr>
          <w:rFonts w:asciiTheme="minorHAnsi" w:eastAsia="Century Gothic" w:hAnsiTheme="minorHAnsi" w:cstheme="minorHAnsi"/>
          <w:sz w:val="24"/>
          <w:szCs w:val="24"/>
        </w:rPr>
        <w:t>a 201</w:t>
      </w:r>
      <w:r w:rsidR="0099073B" w:rsidRPr="0099073B">
        <w:rPr>
          <w:rFonts w:asciiTheme="minorHAnsi" w:eastAsia="Century Gothic" w:hAnsiTheme="minorHAnsi" w:cstheme="minorHAnsi"/>
          <w:spacing w:val="2"/>
          <w:sz w:val="24"/>
          <w:szCs w:val="24"/>
        </w:rPr>
        <w:t>4</w:t>
      </w:r>
      <w:r w:rsidR="0099073B" w:rsidRPr="0099073B">
        <w:rPr>
          <w:rFonts w:asciiTheme="minorHAnsi" w:eastAsia="Century Gothic" w:hAnsiTheme="minorHAnsi" w:cstheme="minorHAnsi"/>
          <w:sz w:val="24"/>
          <w:szCs w:val="24"/>
        </w:rPr>
        <w:t xml:space="preserve">-2020. </w:t>
      </w:r>
      <w:r w:rsidR="0099073B" w:rsidRPr="0099073B">
        <w:rPr>
          <w:rFonts w:asciiTheme="minorHAnsi" w:eastAsia="Century Gothic" w:hAnsiTheme="minorHAnsi" w:cstheme="minorHAnsi"/>
          <w:spacing w:val="2"/>
          <w:sz w:val="24"/>
          <w:szCs w:val="24"/>
        </w:rPr>
        <w:t>M</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s</w:t>
      </w:r>
      <w:r w:rsidR="0099073B" w:rsidRPr="0099073B">
        <w:rPr>
          <w:rFonts w:asciiTheme="minorHAnsi" w:eastAsia="Century Gothic" w:hAnsiTheme="minorHAnsi" w:cstheme="minorHAnsi"/>
          <w:spacing w:val="-2"/>
          <w:sz w:val="24"/>
          <w:szCs w:val="24"/>
        </w:rPr>
        <w:t>u</w:t>
      </w:r>
      <w:r w:rsidR="0099073B" w:rsidRPr="0099073B">
        <w:rPr>
          <w:rFonts w:asciiTheme="minorHAnsi" w:eastAsia="Century Gothic" w:hAnsiTheme="minorHAnsi" w:cstheme="minorHAnsi"/>
          <w:sz w:val="24"/>
          <w:szCs w:val="24"/>
        </w:rPr>
        <w:t xml:space="preserve">ra </w:t>
      </w:r>
      <w:r w:rsidR="00BB4D6C">
        <w:rPr>
          <w:rFonts w:asciiTheme="minorHAnsi" w:eastAsia="Century Gothic" w:hAnsiTheme="minorHAnsi" w:cstheme="minorHAnsi"/>
          <w:sz w:val="24"/>
          <w:szCs w:val="24"/>
        </w:rPr>
        <w:t>3</w:t>
      </w:r>
      <w:r w:rsidR="0099073B" w:rsidRPr="0099073B">
        <w:rPr>
          <w:rFonts w:asciiTheme="minorHAnsi" w:eastAsia="Century Gothic" w:hAnsiTheme="minorHAnsi" w:cstheme="minorHAnsi"/>
          <w:sz w:val="24"/>
          <w:szCs w:val="24"/>
        </w:rPr>
        <w:t xml:space="preserve"> – </w:t>
      </w:r>
      <w:r w:rsidR="0099073B" w:rsidRPr="0099073B">
        <w:rPr>
          <w:rFonts w:asciiTheme="minorHAnsi" w:eastAsia="Century Gothic" w:hAnsiTheme="minorHAnsi" w:cstheme="minorHAnsi"/>
          <w:spacing w:val="-1"/>
          <w:sz w:val="24"/>
          <w:szCs w:val="24"/>
        </w:rPr>
        <w:t>T</w:t>
      </w:r>
      <w:r w:rsidR="0099073B" w:rsidRPr="0099073B">
        <w:rPr>
          <w:rFonts w:asciiTheme="minorHAnsi" w:eastAsia="Century Gothic" w:hAnsiTheme="minorHAnsi" w:cstheme="minorHAnsi"/>
          <w:spacing w:val="1"/>
          <w:sz w:val="24"/>
          <w:szCs w:val="24"/>
        </w:rPr>
        <w:t>ip</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z w:val="24"/>
          <w:szCs w:val="24"/>
        </w:rPr>
        <w:t>g</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 xml:space="preserve">a di </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pacing w:val="-2"/>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erve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 xml:space="preserve">o </w:t>
      </w:r>
      <w:r w:rsidR="00BB4D6C">
        <w:rPr>
          <w:rFonts w:asciiTheme="minorHAnsi" w:eastAsia="Century Gothic" w:hAnsiTheme="minorHAnsi" w:cstheme="minorHAnsi"/>
          <w:sz w:val="24"/>
          <w:szCs w:val="24"/>
        </w:rPr>
        <w:t>3</w:t>
      </w:r>
      <w:r w:rsidR="0099073B" w:rsidRPr="0099073B">
        <w:rPr>
          <w:rFonts w:asciiTheme="minorHAnsi" w:eastAsia="Century Gothic" w:hAnsiTheme="minorHAnsi" w:cstheme="minorHAnsi"/>
          <w:spacing w:val="-2"/>
          <w:sz w:val="24"/>
          <w:szCs w:val="24"/>
        </w:rPr>
        <w:t>.</w:t>
      </w:r>
      <w:r w:rsidR="00BB4D6C">
        <w:rPr>
          <w:rFonts w:asciiTheme="minorHAnsi" w:eastAsia="Century Gothic" w:hAnsiTheme="minorHAnsi" w:cstheme="minorHAnsi"/>
          <w:spacing w:val="2"/>
          <w:sz w:val="24"/>
          <w:szCs w:val="24"/>
        </w:rPr>
        <w:t>1</w:t>
      </w:r>
      <w:r w:rsidR="0099073B" w:rsidRPr="0099073B">
        <w:rPr>
          <w:rFonts w:asciiTheme="minorHAnsi" w:eastAsia="Century Gothic" w:hAnsiTheme="minorHAnsi" w:cstheme="minorHAnsi"/>
          <w:spacing w:val="-2"/>
          <w:sz w:val="24"/>
          <w:szCs w:val="24"/>
        </w:rPr>
        <w:t>.</w:t>
      </w:r>
      <w:r w:rsidR="0099073B" w:rsidRPr="0099073B">
        <w:rPr>
          <w:rFonts w:asciiTheme="minorHAnsi" w:eastAsia="Century Gothic" w:hAnsiTheme="minorHAnsi" w:cstheme="minorHAnsi"/>
          <w:sz w:val="24"/>
          <w:szCs w:val="24"/>
        </w:rPr>
        <w:t xml:space="preserve">1 </w:t>
      </w:r>
      <w:r w:rsidR="0052713C" w:rsidRPr="0052713C">
        <w:rPr>
          <w:rFonts w:asciiTheme="minorHAnsi" w:eastAsia="Century Gothic" w:hAnsiTheme="minorHAnsi" w:cstheme="minorHAnsi"/>
          <w:spacing w:val="-1"/>
          <w:sz w:val="24"/>
          <w:szCs w:val="24"/>
        </w:rPr>
        <w:t>“</w:t>
      </w:r>
      <w:r w:rsidR="00BB4D6C" w:rsidRPr="00BB4D6C">
        <w:rPr>
          <w:rFonts w:eastAsia="Calibri" w:cstheme="minorHAnsi"/>
          <w:bCs/>
          <w:i/>
          <w:sz w:val="24"/>
          <w:szCs w:val="24"/>
        </w:rPr>
        <w:t>Sostegno alla (nuova) adesione a regimi di qualità</w:t>
      </w:r>
      <w:r w:rsidR="0052713C" w:rsidRPr="0052713C">
        <w:rPr>
          <w:rFonts w:asciiTheme="minorHAnsi" w:eastAsia="Century Gothic" w:hAnsiTheme="minorHAnsi" w:cstheme="minorHAnsi"/>
          <w:spacing w:val="-1"/>
          <w:sz w:val="24"/>
          <w:szCs w:val="24"/>
        </w:rPr>
        <w:t>”</w:t>
      </w:r>
    </w:p>
    <w:p w:rsidR="00780514" w:rsidRPr="0099073B" w:rsidRDefault="00780514" w:rsidP="00780514">
      <w:pPr>
        <w:widowControl/>
        <w:spacing w:line="276" w:lineRule="auto"/>
        <w:ind w:left="993" w:hanging="993"/>
        <w:jc w:val="both"/>
        <w:rPr>
          <w:rFonts w:asciiTheme="minorHAnsi" w:eastAsia="Century Gothic" w:hAnsiTheme="minorHAnsi" w:cstheme="minorHAnsi"/>
          <w:spacing w:val="2"/>
          <w:sz w:val="24"/>
          <w:szCs w:val="24"/>
        </w:rPr>
      </w:pP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 xml:space="preserve">INFORMATIVA TRATTAMENTO DATI REGOLAMENTO UE 679/2016 </w:t>
      </w: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relativo alla protezione delle persone fisiche con riguardo al trattamento dei dati personali, nonché alla libera circolazione di tali dati</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La Società consortile GAL – Gruppo di Azione Locale Irno – Cavese procede al trattamento dei dati nel rispetto delle disposizioni di cui al Regolamento Europeo 679/16 concernente la protezione delle persone fisiche con riguardo al trattamento dei dati personali, nonché alla libera circolazione di tali dati.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780514" w:rsidRPr="0099073B" w:rsidRDefault="00780514" w:rsidP="00780514">
      <w:pPr>
        <w:widowControl/>
        <w:jc w:val="both"/>
        <w:rPr>
          <w:rFonts w:asciiTheme="minorHAnsi" w:eastAsia="Cambria" w:hAnsiTheme="minorHAnsi" w:cstheme="minorHAnsi"/>
          <w:shd w:val="clear" w:color="auto" w:fill="FFFF00"/>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dei dati è Società consortile GAL – Gruppo di Azione Locale Irno – Cavese.</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Tipologia di dati trattati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forniti e trattati dalla Società consortile GAL sono: Amministrativo, Contabili, Bancari, Finanziari, Dati personali.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Finalità del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Vi informiamo che i dati personali, forniti direttamente dall’interessato e/o raccolti attraverso la compilazione di form disponibili nei siti internet gestiti dalla Società consortile GAL, sono trattati per finalità legate all'erogazione del servizio oggetto del contratto.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E77A22">
        <w:rPr>
          <w:rFonts w:asciiTheme="minorHAnsi" w:eastAsia="Cambria" w:hAnsiTheme="minorHAnsi" w:cstheme="minorHAnsi"/>
          <w:sz w:val="28"/>
          <w:szCs w:val="28"/>
          <w:lang w:eastAsia="en-US"/>
        </w:rPr>
        <w:t xml:space="preserve">□ </w:t>
      </w:r>
      <w:r w:rsidRPr="0099073B">
        <w:rPr>
          <w:rFonts w:asciiTheme="minorHAnsi" w:eastAsia="Cambria" w:hAnsiTheme="minorHAnsi" w:cstheme="minorHAnsi"/>
          <w:lang w:eastAsia="en-US"/>
        </w:rPr>
        <w:t xml:space="preserve">ACCONSENTO                                                           </w:t>
      </w:r>
      <w:bookmarkStart w:id="0" w:name="_GoBack"/>
      <w:bookmarkEnd w:id="0"/>
      <w:r w:rsidRPr="0099073B">
        <w:rPr>
          <w:rFonts w:asciiTheme="minorHAnsi" w:eastAsia="Cambria" w:hAnsiTheme="minorHAnsi" w:cstheme="minorHAnsi"/>
          <w:lang w:eastAsia="en-US"/>
        </w:rPr>
        <w:t xml:space="preserve">    </w:t>
      </w:r>
      <w:r w:rsidRPr="00E77A22">
        <w:rPr>
          <w:rFonts w:asciiTheme="minorHAnsi" w:eastAsia="Cambria" w:hAnsiTheme="minorHAnsi" w:cstheme="minorHAnsi"/>
          <w:sz w:val="28"/>
          <w:szCs w:val="28"/>
          <w:lang w:eastAsia="en-US"/>
        </w:rPr>
        <w:t>□</w:t>
      </w:r>
      <w:r w:rsidRPr="0099073B">
        <w:rPr>
          <w:rFonts w:asciiTheme="minorHAnsi" w:eastAsia="Cambria" w:hAnsiTheme="minorHAnsi" w:cstheme="minorHAnsi"/>
          <w:lang w:eastAsia="en-US"/>
        </w:rPr>
        <w:t xml:space="preserve"> NON ACCONSENTO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Modalità del trattamento ed accesso ai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la compilazione di form online sono trattati in forma elettronica e mediante sistemi informativi di natura gestionale.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sono accessibili esclusivamente da parte di incaricati, adeguatamente formati ed informativi circa le loro mansioni e le attività ad essi consentite sul dato raccolto, che operano per conto della  Società consortile GAL e che sono destinatari di istruzioni e compiti impartiti dal Responsabile del Trattamento, a mezzo di lettera di nomina.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tratterà i dati per le finalità sopra indicate perseguendo i propri interessi legittimi che non vanno a prevalere sugli interessi o i diritti e le libertà dell’interessato.</w:t>
      </w:r>
    </w:p>
    <w:p w:rsidR="00780514" w:rsidRPr="0099073B" w:rsidRDefault="00780514" w:rsidP="00780514">
      <w:pPr>
        <w:widowControl/>
        <w:jc w:val="both"/>
        <w:rPr>
          <w:rFonts w:asciiTheme="minorHAnsi" w:eastAsia="Cambria" w:hAnsiTheme="minorHAnsi" w:cstheme="minorHAnsi"/>
          <w:lang w:eastAsia="en-US"/>
        </w:rPr>
      </w:pPr>
    </w:p>
    <w:p w:rsidR="00FC2F5B" w:rsidRDefault="00FC2F5B">
      <w:pPr>
        <w:suppressAutoHyphens w:val="0"/>
        <w:rPr>
          <w:rFonts w:asciiTheme="minorHAnsi" w:eastAsia="Cambria" w:hAnsiTheme="minorHAnsi" w:cstheme="minorHAnsi"/>
          <w:b/>
          <w:lang w:eastAsia="en-US"/>
        </w:rPr>
      </w:pPr>
      <w:bookmarkStart w:id="1" w:name="_Hlk501123708"/>
      <w:r>
        <w:rPr>
          <w:rFonts w:asciiTheme="minorHAnsi" w:eastAsia="Cambria" w:hAnsiTheme="minorHAnsi" w:cstheme="minorHAnsi"/>
          <w:b/>
          <w:lang w:eastAsia="en-US"/>
        </w:rPr>
        <w:br w:type="page"/>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lastRenderedPageBreak/>
        <w:t>Ambito di comunicazione ed eventuale diffusione</w:t>
      </w:r>
    </w:p>
    <w:bookmarkEnd w:id="1"/>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relativi al contratto e all’attività di servizio possono essere comunicati a consulenti commerciali per finalità amministrative e contabili e a legali per eventuale gestione di contenziosi.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dalla Società consortile GAL per finalità investigativa o comunque per la tutela di un proprio legittimo interesse.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altresì essere comunicati o resi accessibili alle società controllate e/o collegate alla Società consortile GAL, ad altri soggetti che si occupano della manutenzione dei sistemi informatici, nonché ai soggetti che si occupano di specifiche fasi dei trattamenti, in qualità di responsabili della Società consortile GAL i cui nominativi sono verificabili a richiesta degli interessati.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possono essere comunicati anche ad organi di polizia o all’autorità giudiziaria per finalità di accertamento o repressione di reati compiuti dagli utenti dei servizi telematici, ove necessario.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non sono oggetto di diffusione, salvo i dati di imprese e società per scopo di referenza commerciale.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essere trattati al fine di individuare determinate caratteristiche di talune tipologie di destinatari al fine di veicolare le attività di comunicazione e di pubblicità mirate agli interessi degli stessi destinatari.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Conservazione dei dati personali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strettamente necessari per gli adempimenti fiscali e contabili, venuta meno la finalità per la quale erano stati raccolti, verranno conservati per un periodo di 10 anni come richiesto dalle normative in materia.  </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ha diritto di chiedere, in qualunque momento, la modifica degli assetti regolati dal presente paragrafo attraverso l’esercizio dei diritti di cui al paragrafo successivo.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I diritti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potrà esercitare i diritti di cui agli artt. da 15 a 22 del Regolamento Europeo 679/16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b/>
          <w:i/>
          <w:lang w:eastAsia="en-US"/>
        </w:rPr>
      </w:pPr>
      <w:r w:rsidRPr="0099073B">
        <w:rPr>
          <w:rFonts w:asciiTheme="minorHAnsi" w:eastAsia="Cambria" w:hAnsiTheme="minorHAnsi" w:cstheme="minorHAnsi"/>
          <w:b/>
          <w:i/>
          <w:lang w:eastAsia="en-US"/>
        </w:rPr>
        <w:t xml:space="preserve">Art 15 – Diritto di accesso dell'interessato </w:t>
      </w:r>
      <w:r w:rsidRPr="0099073B">
        <w:rPr>
          <w:rFonts w:asciiTheme="minorHAnsi" w:eastAsia="Cambria" w:hAnsiTheme="minorHAnsi" w:cstheme="minorHAnsi"/>
          <w:lang w:eastAsia="en-US"/>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w:t>
      </w:r>
      <w:r w:rsidRPr="0099073B">
        <w:rPr>
          <w:rFonts w:asciiTheme="minorHAnsi" w:eastAsia="Cambria" w:hAnsiTheme="minorHAnsi" w:cstheme="minorHAnsi"/>
          <w:lang w:eastAsia="en-US"/>
        </w:rPr>
        <w:lastRenderedPageBreak/>
        <w:t>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16 – Diritto di rettifica - </w:t>
      </w:r>
      <w:r w:rsidRPr="0099073B">
        <w:rPr>
          <w:rFonts w:asciiTheme="minorHAnsi" w:eastAsia="Cambria" w:hAnsiTheme="minorHAnsi" w:cstheme="minorHAnsi"/>
          <w:lang w:eastAsia="en-U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17 – Diritto alla cancellazione -</w:t>
      </w:r>
      <w:r w:rsidRPr="0099073B">
        <w:rPr>
          <w:rFonts w:asciiTheme="minorHAnsi" w:eastAsia="Cambria" w:hAnsiTheme="minorHAnsi" w:cstheme="minorHAnsi"/>
          <w:lang w:eastAsia="en-US"/>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18 – Diritto di limitazione del trattamento - </w:t>
      </w:r>
      <w:r w:rsidRPr="0099073B">
        <w:rPr>
          <w:rFonts w:asciiTheme="minorHAnsi" w:eastAsia="Cambria" w:hAnsiTheme="minorHAnsi" w:cstheme="minorHAnsi"/>
          <w:lang w:eastAsia="en-US"/>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w:t>
      </w:r>
      <w:r w:rsidRPr="0099073B">
        <w:rPr>
          <w:rFonts w:asciiTheme="minorHAnsi" w:eastAsia="Cambria" w:hAnsiTheme="minorHAnsi" w:cstheme="minorHAnsi"/>
          <w:lang w:eastAsia="en-US"/>
        </w:rPr>
        <w:lastRenderedPageBreak/>
        <w:t>o di uno Stato membro. L 119/44 IT Gazzetta ufficiale dell'Unione europea 4.5.2016 3. L'interessato che ha ottenuto la limitazione del trattamento a norma del paragrafo 1 è informato dal Titolare del Trattamento prima che detta limitazione sia revocata.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19 – Diritto di ottenere la notifica dal Titolare del Trattamento nei casi di rettifica o cancellazione dei dati personali o di cancellazione degli stessi - </w:t>
      </w:r>
      <w:r w:rsidRPr="0099073B">
        <w:rPr>
          <w:rFonts w:asciiTheme="minorHAnsi" w:eastAsia="Cambria" w:hAnsiTheme="minorHAnsi" w:cstheme="minorHAnsi"/>
          <w:lang w:eastAsia="en-US"/>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20 – Diritto alla portabilità - </w:t>
      </w:r>
      <w:r w:rsidRPr="0099073B">
        <w:rPr>
          <w:rFonts w:asciiTheme="minorHAnsi" w:eastAsia="Cambria" w:hAnsiTheme="minorHAnsi" w:cstheme="minorHAnsi"/>
          <w:lang w:eastAsia="en-US"/>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21 – Diritto di opposizione - </w:t>
      </w:r>
      <w:r w:rsidRPr="0099073B">
        <w:rPr>
          <w:rFonts w:asciiTheme="minorHAnsi" w:eastAsia="Cambria" w:hAnsiTheme="minorHAnsi" w:cstheme="minorHAnsi"/>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22 – Diritto di rifiutare il processo automatizzato -</w:t>
      </w:r>
      <w:r w:rsidRPr="0099073B">
        <w:rPr>
          <w:rFonts w:asciiTheme="minorHAnsi" w:eastAsia="Cambria" w:hAnsiTheme="minorHAnsi" w:cstheme="minorHAnsi"/>
          <w:lang w:eastAsia="en-US"/>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w:t>
      </w:r>
      <w:r w:rsidRPr="0099073B">
        <w:rPr>
          <w:rFonts w:asciiTheme="minorHAnsi" w:eastAsia="Cambria" w:hAnsiTheme="minorHAnsi" w:cstheme="minorHAnsi"/>
          <w:lang w:eastAsia="en-US"/>
        </w:rPr>
        <w:lastRenderedPageBreak/>
        <w:t>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In tal senso viene consentito all’interessato di accedere ai propri dati per:</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verificarne la veridicità;</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modificarli nel caso divengano inesatti;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integrarli anche con dichiarazione integrativa;</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richiederne la cancellazione;</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limitarne il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opporsi al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è obbligato a rispondere senza ingiustificato motivo.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Cancellazione dei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non sono più necessari per le finalità per le quali erano stati raccolti;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ha revocato il consenso;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si oppone al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sono trattati in maniera illecita.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Per esercitare i diritti previsti dagli artt. da 15 a 22 del Reg. Ue 679/16 l’interessato dovrà rivolgere apposita richiesta scritta indirizzata a: </w:t>
      </w:r>
      <w:r w:rsidRPr="0099073B">
        <w:rPr>
          <w:rFonts w:asciiTheme="minorHAnsi" w:eastAsia="Cambria" w:hAnsiTheme="minorHAnsi" w:cstheme="minorHAnsi"/>
          <w:b/>
          <w:i/>
          <w:u w:val="single"/>
          <w:lang w:eastAsia="en-US"/>
        </w:rPr>
        <w:t>galterraevita@pec.it</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E77A22">
      <w:pPr>
        <w:widowControl/>
        <w:jc w:val="right"/>
        <w:rPr>
          <w:rFonts w:asciiTheme="minorHAnsi" w:eastAsia="Cambria" w:hAnsiTheme="minorHAnsi" w:cstheme="minorHAnsi"/>
          <w:b/>
          <w:i/>
          <w:sz w:val="18"/>
          <w:szCs w:val="18"/>
          <w:lang w:eastAsia="en-US"/>
        </w:rPr>
      </w:pPr>
      <w:r w:rsidRPr="0099073B">
        <w:rPr>
          <w:rFonts w:asciiTheme="minorHAnsi" w:eastAsia="Cambria" w:hAnsiTheme="minorHAnsi" w:cstheme="minorHAnsi"/>
          <w:b/>
          <w:i/>
          <w:sz w:val="18"/>
          <w:szCs w:val="18"/>
          <w:lang w:eastAsia="en-US"/>
        </w:rPr>
        <w:t>GAL – Gruppo di Azione Locale Irno – Cavese</w:t>
      </w: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E77A22">
      <w:pPr>
        <w:widowControl/>
        <w:jc w:val="center"/>
        <w:rPr>
          <w:rFonts w:asciiTheme="minorHAnsi" w:eastAsia="Cambria" w:hAnsiTheme="minorHAnsi" w:cstheme="minorHAnsi"/>
          <w:sz w:val="18"/>
          <w:szCs w:val="18"/>
          <w:lang w:eastAsia="en-US"/>
        </w:rPr>
      </w:pPr>
      <w:r w:rsidRPr="0099073B">
        <w:rPr>
          <w:rFonts w:asciiTheme="minorHAnsi" w:eastAsia="Cambria" w:hAnsiTheme="minorHAnsi" w:cstheme="minorHAnsi"/>
          <w:b/>
          <w:sz w:val="18"/>
          <w:szCs w:val="18"/>
          <w:lang w:eastAsia="en-US"/>
        </w:rPr>
        <w:t>Firma per presa visione e consenso</w:t>
      </w:r>
    </w:p>
    <w:p w:rsidR="00780514" w:rsidRPr="0099073B" w:rsidRDefault="00780514" w:rsidP="00780514">
      <w:pPr>
        <w:widowControl/>
        <w:rPr>
          <w:rFonts w:asciiTheme="minorHAnsi" w:eastAsia="Cambria" w:hAnsiTheme="minorHAnsi" w:cstheme="minorHAnsi"/>
          <w:sz w:val="18"/>
          <w:szCs w:val="18"/>
          <w:lang w:eastAsia="en-US"/>
        </w:rPr>
      </w:pPr>
    </w:p>
    <w:p w:rsidR="00780514" w:rsidRPr="0099073B" w:rsidRDefault="00780514" w:rsidP="00780514">
      <w:pPr>
        <w:widowControl/>
        <w:rPr>
          <w:rFonts w:asciiTheme="minorHAnsi" w:eastAsia="Cambria" w:hAnsiTheme="minorHAnsi" w:cstheme="minorHAnsi"/>
          <w:sz w:val="18"/>
          <w:szCs w:val="18"/>
          <w:lang w:eastAsia="en-US"/>
        </w:rPr>
      </w:pP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t>____________________________________________</w:t>
      </w:r>
    </w:p>
    <w:p w:rsidR="00134AF8" w:rsidRPr="0099073B" w:rsidRDefault="00134AF8">
      <w:pPr>
        <w:pStyle w:val="Standard"/>
        <w:spacing w:after="0" w:line="240" w:lineRule="auto"/>
        <w:jc w:val="center"/>
        <w:rPr>
          <w:rFonts w:asciiTheme="minorHAnsi" w:hAnsiTheme="minorHAnsi" w:cstheme="minorHAnsi"/>
          <w:b/>
          <w:lang w:eastAsia="it-IT"/>
        </w:rPr>
      </w:pPr>
    </w:p>
    <w:sectPr w:rsidR="00134AF8" w:rsidRPr="0099073B" w:rsidSect="00F50035">
      <w:headerReference w:type="default" r:id="rId7"/>
      <w:footerReference w:type="default" r:id="rId8"/>
      <w:pgSz w:w="11906" w:h="16838"/>
      <w:pgMar w:top="720" w:right="1134" w:bottom="1134" w:left="1134" w:header="720" w:footer="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96" w:rsidRDefault="00B36C96">
      <w:r>
        <w:separator/>
      </w:r>
    </w:p>
  </w:endnote>
  <w:endnote w:type="continuationSeparator" w:id="1">
    <w:p w:rsidR="00B36C96" w:rsidRDefault="00B36C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B5" w:rsidRDefault="00CD5A5C">
    <w:pPr>
      <w:pStyle w:val="Pidipagina"/>
    </w:pPr>
    <w:r>
      <w:fldChar w:fldCharType="begin"/>
    </w:r>
    <w:r w:rsidR="008C27CE">
      <w:instrText xml:space="preserve"> PAGE </w:instrText>
    </w:r>
    <w:r>
      <w:fldChar w:fldCharType="separate"/>
    </w:r>
    <w:r w:rsidR="00BB4D6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96" w:rsidRDefault="00B36C96">
      <w:r>
        <w:rPr>
          <w:color w:val="000000"/>
        </w:rPr>
        <w:separator/>
      </w:r>
    </w:p>
  </w:footnote>
  <w:footnote w:type="continuationSeparator" w:id="1">
    <w:p w:rsidR="00B36C96" w:rsidRDefault="00B36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8" w:type="dxa"/>
      <w:jc w:val="center"/>
      <w:tblCellMar>
        <w:left w:w="10" w:type="dxa"/>
        <w:right w:w="10" w:type="dxa"/>
      </w:tblCellMar>
      <w:tblLook w:val="0000"/>
    </w:tblPr>
    <w:tblGrid>
      <w:gridCol w:w="3516"/>
      <w:gridCol w:w="1235"/>
      <w:gridCol w:w="1731"/>
      <w:gridCol w:w="2996"/>
    </w:tblGrid>
    <w:tr w:rsidR="00E11310" w:rsidTr="006E04D7">
      <w:trPr>
        <w:trHeight w:val="1266"/>
        <w:jc w:val="center"/>
      </w:trPr>
      <w:tc>
        <w:tcPr>
          <w:tcW w:w="3516" w:type="dxa"/>
          <w:shd w:val="clear" w:color="auto" w:fill="auto"/>
          <w:tcMar>
            <w:top w:w="0" w:type="dxa"/>
            <w:left w:w="108" w:type="dxa"/>
            <w:bottom w:w="0" w:type="dxa"/>
            <w:right w:w="108" w:type="dxa"/>
          </w:tcMar>
        </w:tcPr>
        <w:p w:rsidR="00E11310" w:rsidRDefault="00E11310" w:rsidP="006E04D7">
          <w:pPr>
            <w:suppressLineNumbers/>
            <w:tabs>
              <w:tab w:val="right" w:pos="9638"/>
            </w:tabs>
            <w:jc w:val="center"/>
          </w:pPr>
          <w:r>
            <w:rPr>
              <w:rFonts w:eastAsia="SimSun"/>
              <w:noProof/>
            </w:rPr>
            <w:drawing>
              <wp:inline distT="0" distB="0" distL="0" distR="0">
                <wp:extent cx="2095503" cy="723903"/>
                <wp:effectExtent l="0" t="0" r="0" b="0"/>
                <wp:docPr id="22" name="Immagine 15" descr="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95503" cy="723903"/>
                        </a:xfrm>
                        <a:prstGeom prst="rect">
                          <a:avLst/>
                        </a:prstGeom>
                        <a:noFill/>
                        <a:ln>
                          <a:noFill/>
                          <a:prstDash/>
                        </a:ln>
                      </pic:spPr>
                    </pic:pic>
                  </a:graphicData>
                </a:graphic>
              </wp:inline>
            </w:drawing>
          </w:r>
        </w:p>
      </w:tc>
      <w:tc>
        <w:tcPr>
          <w:tcW w:w="1235" w:type="dxa"/>
          <w:shd w:val="clear" w:color="auto" w:fill="auto"/>
          <w:tcMar>
            <w:top w:w="0" w:type="dxa"/>
            <w:left w:w="108" w:type="dxa"/>
            <w:bottom w:w="0" w:type="dxa"/>
            <w:right w:w="108" w:type="dxa"/>
          </w:tcMar>
        </w:tcPr>
        <w:p w:rsidR="00E11310" w:rsidRDefault="00E11310" w:rsidP="00E11310">
          <w:pPr>
            <w:suppressLineNumbers/>
            <w:tabs>
              <w:tab w:val="center" w:pos="880"/>
            </w:tabs>
          </w:pPr>
          <w:r>
            <w:rPr>
              <w:rFonts w:eastAsia="SimSun" w:cs="F"/>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47696" cy="695328"/>
                <wp:effectExtent l="0" t="0" r="4" b="9522"/>
                <wp:wrapSquare wrapText="bothSides"/>
                <wp:docPr id="2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7696" cy="695328"/>
                        </a:xfrm>
                        <a:prstGeom prst="rect">
                          <a:avLst/>
                        </a:prstGeom>
                        <a:noFill/>
                        <a:ln>
                          <a:noFill/>
                          <a:prstDash/>
                        </a:ln>
                      </pic:spPr>
                    </pic:pic>
                  </a:graphicData>
                </a:graphic>
              </wp:anchor>
            </w:drawing>
          </w:r>
        </w:p>
      </w:tc>
      <w:tc>
        <w:tcPr>
          <w:tcW w:w="1730" w:type="dxa"/>
          <w:shd w:val="clear" w:color="auto" w:fill="auto"/>
          <w:tcMar>
            <w:top w:w="0" w:type="dxa"/>
            <w:left w:w="108" w:type="dxa"/>
            <w:bottom w:w="0" w:type="dxa"/>
            <w:right w:w="108" w:type="dxa"/>
          </w:tcMar>
        </w:tcPr>
        <w:p w:rsidR="00E11310" w:rsidRDefault="00E11310" w:rsidP="00E11310">
          <w:pPr>
            <w:suppressLineNumbers/>
            <w:tabs>
              <w:tab w:val="center" w:pos="4819"/>
              <w:tab w:val="right" w:pos="9638"/>
            </w:tabs>
            <w:jc w:val="center"/>
          </w:pPr>
          <w:r>
            <w:rPr>
              <w:rFonts w:eastAsia="SimSun"/>
              <w:noProof/>
              <w:sz w:val="24"/>
            </w:rPr>
            <w:drawing>
              <wp:inline distT="0" distB="0" distL="0" distR="0">
                <wp:extent cx="962021" cy="704846"/>
                <wp:effectExtent l="0" t="0" r="0" b="4"/>
                <wp:docPr id="24" name="Immagine 17" descr="r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2021" cy="704846"/>
                        </a:xfrm>
                        <a:prstGeom prst="rect">
                          <a:avLst/>
                        </a:prstGeom>
                        <a:noFill/>
                        <a:ln>
                          <a:noFill/>
                          <a:prstDash/>
                        </a:ln>
                      </pic:spPr>
                    </pic:pic>
                  </a:graphicData>
                </a:graphic>
              </wp:inline>
            </w:drawing>
          </w:r>
        </w:p>
      </w:tc>
      <w:tc>
        <w:tcPr>
          <w:tcW w:w="2997" w:type="dxa"/>
          <w:shd w:val="clear" w:color="auto" w:fill="auto"/>
          <w:tcMar>
            <w:top w:w="0" w:type="dxa"/>
            <w:left w:w="108" w:type="dxa"/>
            <w:bottom w:w="0" w:type="dxa"/>
            <w:right w:w="108" w:type="dxa"/>
          </w:tcMar>
        </w:tcPr>
        <w:p w:rsidR="00E11310" w:rsidRDefault="006E04D7" w:rsidP="006E04D7">
          <w:pPr>
            <w:suppressLineNumbers/>
            <w:tabs>
              <w:tab w:val="center" w:pos="4819"/>
              <w:tab w:val="right" w:pos="9638"/>
            </w:tabs>
            <w:ind w:left="-317" w:right="-1090"/>
            <w:jc w:val="center"/>
          </w:pPr>
          <w:r>
            <w:rPr>
              <w:noProof/>
            </w:rPr>
            <w:drawing>
              <wp:anchor distT="0" distB="0" distL="114300" distR="114300" simplePos="0" relativeHeight="251661312" behindDoc="0" locked="0" layoutInCell="1" allowOverlap="1">
                <wp:simplePos x="0" y="0"/>
                <wp:positionH relativeFrom="column">
                  <wp:posOffset>1148715</wp:posOffset>
                </wp:positionH>
                <wp:positionV relativeFrom="page">
                  <wp:posOffset>133350</wp:posOffset>
                </wp:positionV>
                <wp:extent cx="838200" cy="4318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anchor>
            </w:drawing>
          </w:r>
          <w:r w:rsidR="00E11310">
            <w:rPr>
              <w:rFonts w:eastAsia="SimSun"/>
              <w:noProof/>
              <w:sz w:val="24"/>
            </w:rPr>
            <w:drawing>
              <wp:inline distT="0" distB="0" distL="0" distR="0">
                <wp:extent cx="495303" cy="704846"/>
                <wp:effectExtent l="0" t="0" r="0" b="4"/>
                <wp:docPr id="25" name="Immagine 18" descr="nuovo_PSR_medi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95303" cy="704846"/>
                        </a:xfrm>
                        <a:prstGeom prst="rect">
                          <a:avLst/>
                        </a:prstGeom>
                        <a:noFill/>
                        <a:ln>
                          <a:noFill/>
                          <a:prstDash/>
                        </a:ln>
                      </pic:spPr>
                    </pic:pic>
                  </a:graphicData>
                </a:graphic>
              </wp:inline>
            </w:drawing>
          </w:r>
        </w:p>
      </w:tc>
    </w:tr>
  </w:tbl>
  <w:p w:rsidR="00E11310" w:rsidRDefault="00E1131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F4"/>
    <w:multiLevelType w:val="multilevel"/>
    <w:tmpl w:val="803E4436"/>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2495DD2"/>
    <w:multiLevelType w:val="multilevel"/>
    <w:tmpl w:val="1806E69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4F029E9"/>
    <w:multiLevelType w:val="multilevel"/>
    <w:tmpl w:val="21B447E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7EA39A8"/>
    <w:multiLevelType w:val="multilevel"/>
    <w:tmpl w:val="33D6142A"/>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B03C6E"/>
    <w:multiLevelType w:val="multilevel"/>
    <w:tmpl w:val="1DD6FEF4"/>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14E0CCC"/>
    <w:multiLevelType w:val="multilevel"/>
    <w:tmpl w:val="23908CE0"/>
    <w:styleLink w:val="WWNum9"/>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2893E9E"/>
    <w:multiLevelType w:val="multilevel"/>
    <w:tmpl w:val="EE82888C"/>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48859F8"/>
    <w:multiLevelType w:val="multilevel"/>
    <w:tmpl w:val="A46898AC"/>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602758C"/>
    <w:multiLevelType w:val="multilevel"/>
    <w:tmpl w:val="BBF684AA"/>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68D5438"/>
    <w:multiLevelType w:val="multilevel"/>
    <w:tmpl w:val="3FD40F82"/>
    <w:styleLink w:val="WWNum20"/>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5B9700B"/>
    <w:multiLevelType w:val="multilevel"/>
    <w:tmpl w:val="258CF9B2"/>
    <w:styleLink w:val="WWNum21"/>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BA210A7"/>
    <w:multiLevelType w:val="multilevel"/>
    <w:tmpl w:val="2656FC0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39FF256E"/>
    <w:multiLevelType w:val="multilevel"/>
    <w:tmpl w:val="60B44FEA"/>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DD25F6E"/>
    <w:multiLevelType w:val="multilevel"/>
    <w:tmpl w:val="977E537A"/>
    <w:styleLink w:val="WWNum18"/>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40694DF0"/>
    <w:multiLevelType w:val="multilevel"/>
    <w:tmpl w:val="7180956A"/>
    <w:styleLink w:val="WWNum17"/>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5481A2F"/>
    <w:multiLevelType w:val="multilevel"/>
    <w:tmpl w:val="57D88086"/>
    <w:styleLink w:val="WWNum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32C062A"/>
    <w:multiLevelType w:val="multilevel"/>
    <w:tmpl w:val="2C725772"/>
    <w:styleLink w:val="WWNum1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6A5488A"/>
    <w:multiLevelType w:val="multilevel"/>
    <w:tmpl w:val="3F68C7E4"/>
    <w:styleLink w:val="WWNum8"/>
    <w:lvl w:ilvl="0">
      <w:numFmt w:val="bullet"/>
      <w:lvlText w:val=""/>
      <w:lvlJc w:val="left"/>
      <w:rPr>
        <w:rFonts w:ascii="Wingdings" w:hAnsi="Wingdings"/>
        <w:sz w:val="16"/>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58736C7E"/>
    <w:multiLevelType w:val="multilevel"/>
    <w:tmpl w:val="EAA68FE2"/>
    <w:styleLink w:val="WWNum31"/>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E576CAD"/>
    <w:multiLevelType w:val="multilevel"/>
    <w:tmpl w:val="C9E27D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616D4B6E"/>
    <w:multiLevelType w:val="multilevel"/>
    <w:tmpl w:val="069AA512"/>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6C7F1A3F"/>
    <w:multiLevelType w:val="multilevel"/>
    <w:tmpl w:val="37AC3674"/>
    <w:styleLink w:val="WWNum4"/>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01A6DD8"/>
    <w:multiLevelType w:val="multilevel"/>
    <w:tmpl w:val="983816CC"/>
    <w:styleLink w:val="WWNum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3FE236C"/>
    <w:multiLevelType w:val="multilevel"/>
    <w:tmpl w:val="3550C59E"/>
    <w:styleLink w:val="WWNum1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67E24A0"/>
    <w:multiLevelType w:val="multilevel"/>
    <w:tmpl w:val="A12CB374"/>
    <w:styleLink w:val="WWNum10"/>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76D33F5D"/>
    <w:multiLevelType w:val="multilevel"/>
    <w:tmpl w:val="3E6AF3D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7F0415BC"/>
    <w:multiLevelType w:val="multilevel"/>
    <w:tmpl w:val="0A3C21A4"/>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7F727B6A"/>
    <w:multiLevelType w:val="multilevel"/>
    <w:tmpl w:val="C7B4F448"/>
    <w:lvl w:ilvl="0">
      <w:start w:val="1"/>
      <w:numFmt w:val="bullet"/>
      <w:lvlText w:val="□"/>
      <w:lvlJc w:val="left"/>
      <w:pPr>
        <w:ind w:left="720" w:hanging="360"/>
      </w:pPr>
      <w:rPr>
        <w:rFonts w:ascii="Century Gothic" w:hAnsi="Century Gothic" w:hint="default"/>
        <w:sz w:val="3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6"/>
  </w:num>
  <w:num w:numId="3">
    <w:abstractNumId w:val="3"/>
  </w:num>
  <w:num w:numId="4">
    <w:abstractNumId w:val="21"/>
  </w:num>
  <w:num w:numId="5">
    <w:abstractNumId w:val="11"/>
  </w:num>
  <w:num w:numId="6">
    <w:abstractNumId w:val="15"/>
  </w:num>
  <w:num w:numId="7">
    <w:abstractNumId w:val="2"/>
  </w:num>
  <w:num w:numId="8">
    <w:abstractNumId w:val="17"/>
  </w:num>
  <w:num w:numId="9">
    <w:abstractNumId w:val="5"/>
  </w:num>
  <w:num w:numId="10">
    <w:abstractNumId w:val="24"/>
  </w:num>
  <w:num w:numId="11">
    <w:abstractNumId w:val="23"/>
  </w:num>
  <w:num w:numId="12">
    <w:abstractNumId w:val="19"/>
  </w:num>
  <w:num w:numId="13">
    <w:abstractNumId w:val="16"/>
  </w:num>
  <w:num w:numId="14">
    <w:abstractNumId w:val="1"/>
  </w:num>
  <w:num w:numId="15">
    <w:abstractNumId w:val="25"/>
  </w:num>
  <w:num w:numId="16">
    <w:abstractNumId w:val="4"/>
  </w:num>
  <w:num w:numId="17">
    <w:abstractNumId w:val="14"/>
  </w:num>
  <w:num w:numId="18">
    <w:abstractNumId w:val="13"/>
  </w:num>
  <w:num w:numId="19">
    <w:abstractNumId w:val="0"/>
  </w:num>
  <w:num w:numId="20">
    <w:abstractNumId w:val="9"/>
  </w:num>
  <w:num w:numId="21">
    <w:abstractNumId w:val="10"/>
  </w:num>
  <w:num w:numId="22">
    <w:abstractNumId w:val="20"/>
  </w:num>
  <w:num w:numId="23">
    <w:abstractNumId w:val="7"/>
  </w:num>
  <w:num w:numId="24">
    <w:abstractNumId w:val="12"/>
  </w:num>
  <w:num w:numId="25">
    <w:abstractNumId w:val="6"/>
  </w:num>
  <w:num w:numId="26">
    <w:abstractNumId w:val="22"/>
  </w:num>
  <w:num w:numId="27">
    <w:abstractNumId w:val="25"/>
  </w:num>
  <w:num w:numId="28">
    <w:abstractNumId w:val="2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134AF8"/>
    <w:rsid w:val="000179C8"/>
    <w:rsid w:val="00134AF8"/>
    <w:rsid w:val="00210846"/>
    <w:rsid w:val="00490200"/>
    <w:rsid w:val="0052713C"/>
    <w:rsid w:val="00533A44"/>
    <w:rsid w:val="006E04D7"/>
    <w:rsid w:val="007552E2"/>
    <w:rsid w:val="00780514"/>
    <w:rsid w:val="007E3DF4"/>
    <w:rsid w:val="008C27CE"/>
    <w:rsid w:val="00915DEE"/>
    <w:rsid w:val="009255E4"/>
    <w:rsid w:val="0099073B"/>
    <w:rsid w:val="00B36C96"/>
    <w:rsid w:val="00BB4D6C"/>
    <w:rsid w:val="00C83CDC"/>
    <w:rsid w:val="00CD5A5C"/>
    <w:rsid w:val="00E11310"/>
    <w:rsid w:val="00E1229E"/>
    <w:rsid w:val="00E1647F"/>
    <w:rsid w:val="00E77A22"/>
    <w:rsid w:val="00F50035"/>
    <w:rsid w:val="00FC2F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003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0035"/>
    <w:pPr>
      <w:widowControl/>
      <w:suppressAutoHyphens/>
      <w:spacing w:after="200" w:line="276" w:lineRule="auto"/>
    </w:pPr>
    <w:rPr>
      <w:lang w:eastAsia="en-US"/>
    </w:rPr>
  </w:style>
  <w:style w:type="paragraph" w:customStyle="1" w:styleId="Heading">
    <w:name w:val="Heading"/>
    <w:basedOn w:val="Standard"/>
    <w:next w:val="Textbody"/>
    <w:rsid w:val="00F50035"/>
    <w:pPr>
      <w:keepNext/>
      <w:spacing w:before="240" w:after="120"/>
    </w:pPr>
    <w:rPr>
      <w:rFonts w:ascii="Arial" w:eastAsia="Microsoft YaHei" w:hAnsi="Arial" w:cs="Mangal"/>
      <w:sz w:val="28"/>
      <w:szCs w:val="28"/>
    </w:rPr>
  </w:style>
  <w:style w:type="paragraph" w:customStyle="1" w:styleId="Textbody">
    <w:name w:val="Text body"/>
    <w:basedOn w:val="Standard"/>
    <w:rsid w:val="00F50035"/>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F50035"/>
    <w:rPr>
      <w:rFonts w:cs="Mangal"/>
    </w:rPr>
  </w:style>
  <w:style w:type="paragraph" w:styleId="Didascalia">
    <w:name w:val="caption"/>
    <w:basedOn w:val="Standard"/>
    <w:rsid w:val="00F50035"/>
    <w:pPr>
      <w:suppressLineNumbers/>
      <w:spacing w:before="120" w:after="120"/>
    </w:pPr>
    <w:rPr>
      <w:rFonts w:cs="Mangal"/>
      <w:i/>
      <w:iCs/>
      <w:sz w:val="24"/>
      <w:szCs w:val="24"/>
    </w:rPr>
  </w:style>
  <w:style w:type="paragraph" w:customStyle="1" w:styleId="Index">
    <w:name w:val="Index"/>
    <w:basedOn w:val="Standard"/>
    <w:rsid w:val="00F50035"/>
    <w:pPr>
      <w:suppressLineNumbers/>
    </w:pPr>
    <w:rPr>
      <w:rFonts w:cs="Mangal"/>
    </w:rPr>
  </w:style>
  <w:style w:type="paragraph" w:styleId="Paragrafoelenco">
    <w:name w:val="List Paragraph"/>
    <w:basedOn w:val="Standard"/>
    <w:rsid w:val="00F50035"/>
    <w:pPr>
      <w:ind w:left="720"/>
    </w:pPr>
  </w:style>
  <w:style w:type="paragraph" w:styleId="Pidipagina">
    <w:name w:val="footer"/>
    <w:basedOn w:val="Standard"/>
    <w:rsid w:val="00F50035"/>
    <w:pPr>
      <w:suppressLineNumbers/>
      <w:tabs>
        <w:tab w:val="center" w:pos="4819"/>
        <w:tab w:val="right" w:pos="9638"/>
      </w:tabs>
      <w:spacing w:after="0" w:line="240" w:lineRule="auto"/>
    </w:pPr>
  </w:style>
  <w:style w:type="paragraph" w:styleId="Testocommento">
    <w:name w:val="annotation text"/>
    <w:basedOn w:val="Standard"/>
    <w:rsid w:val="00F50035"/>
    <w:pPr>
      <w:spacing w:line="240" w:lineRule="auto"/>
    </w:pPr>
    <w:rPr>
      <w:sz w:val="20"/>
      <w:szCs w:val="20"/>
    </w:rPr>
  </w:style>
  <w:style w:type="paragraph" w:styleId="Soggettocommento">
    <w:name w:val="annotation subject"/>
    <w:basedOn w:val="Testocommento"/>
    <w:rsid w:val="00F50035"/>
    <w:rPr>
      <w:b/>
      <w:bCs/>
    </w:rPr>
  </w:style>
  <w:style w:type="paragraph" w:styleId="Testofumetto">
    <w:name w:val="Balloon Text"/>
    <w:basedOn w:val="Standard"/>
    <w:rsid w:val="00F50035"/>
    <w:pPr>
      <w:spacing w:after="0" w:line="240" w:lineRule="auto"/>
    </w:pPr>
    <w:rPr>
      <w:rFonts w:ascii="Segoe UI" w:hAnsi="Segoe UI" w:cs="Segoe UI"/>
      <w:sz w:val="18"/>
      <w:szCs w:val="18"/>
    </w:rPr>
  </w:style>
  <w:style w:type="paragraph" w:customStyle="1" w:styleId="TableContents">
    <w:name w:val="Table Contents"/>
    <w:basedOn w:val="Standard"/>
    <w:rsid w:val="00F50035"/>
    <w:pPr>
      <w:suppressLineNumbers/>
    </w:pPr>
  </w:style>
  <w:style w:type="paragraph" w:customStyle="1" w:styleId="Default">
    <w:name w:val="Default"/>
    <w:rsid w:val="00F50035"/>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sid w:val="00F50035"/>
    <w:rPr>
      <w:rFonts w:ascii="Calibri" w:hAnsi="Calibri" w:cs="Times New Roman"/>
    </w:rPr>
  </w:style>
  <w:style w:type="character" w:styleId="Rimandocommento">
    <w:name w:val="annotation reference"/>
    <w:basedOn w:val="Carpredefinitoparagrafo"/>
    <w:rsid w:val="00F50035"/>
    <w:rPr>
      <w:rFonts w:cs="Times New Roman"/>
      <w:sz w:val="16"/>
      <w:szCs w:val="16"/>
    </w:rPr>
  </w:style>
  <w:style w:type="character" w:customStyle="1" w:styleId="TestocommentoCarattere">
    <w:name w:val="Testo commento Carattere"/>
    <w:basedOn w:val="Carpredefinitoparagrafo"/>
    <w:rsid w:val="00F50035"/>
    <w:rPr>
      <w:rFonts w:ascii="Calibri" w:hAnsi="Calibri" w:cs="Times New Roman"/>
      <w:sz w:val="20"/>
      <w:szCs w:val="20"/>
    </w:rPr>
  </w:style>
  <w:style w:type="character" w:customStyle="1" w:styleId="SoggettocommentoCarattere">
    <w:name w:val="Soggetto commento Carattere"/>
    <w:basedOn w:val="TestocommentoCarattere"/>
    <w:rsid w:val="00F50035"/>
    <w:rPr>
      <w:rFonts w:ascii="Calibri" w:hAnsi="Calibri" w:cs="Times New Roman"/>
      <w:b/>
      <w:bCs/>
      <w:sz w:val="20"/>
      <w:szCs w:val="20"/>
    </w:rPr>
  </w:style>
  <w:style w:type="character" w:customStyle="1" w:styleId="TestofumettoCarattere">
    <w:name w:val="Testo fumetto Carattere"/>
    <w:basedOn w:val="Carpredefinitoparagrafo"/>
    <w:rsid w:val="00F50035"/>
    <w:rPr>
      <w:rFonts w:ascii="Segoe UI" w:hAnsi="Segoe UI" w:cs="Segoe UI"/>
      <w:sz w:val="18"/>
      <w:szCs w:val="18"/>
    </w:rPr>
  </w:style>
  <w:style w:type="character" w:customStyle="1" w:styleId="CorpotestoCarattere">
    <w:name w:val="Corpo testo Carattere"/>
    <w:basedOn w:val="Carpredefinitoparagrafo"/>
    <w:rsid w:val="00F50035"/>
    <w:rPr>
      <w:rFonts w:ascii="Times New Roman" w:hAnsi="Times New Roman" w:cs="Times New Roman"/>
      <w:sz w:val="24"/>
      <w:szCs w:val="24"/>
      <w:lang w:eastAsia="ar-SA" w:bidi="ar-SA"/>
    </w:rPr>
  </w:style>
  <w:style w:type="character" w:customStyle="1" w:styleId="ParagrafoelencoCarattere">
    <w:name w:val="Paragrafo elenco Carattere"/>
    <w:rsid w:val="00F50035"/>
    <w:rPr>
      <w:lang w:eastAsia="en-US"/>
    </w:rPr>
  </w:style>
  <w:style w:type="character" w:customStyle="1" w:styleId="ListLabel1">
    <w:name w:val="ListLabel 1"/>
    <w:rsid w:val="00F50035"/>
    <w:rPr>
      <w:sz w:val="16"/>
    </w:rPr>
  </w:style>
  <w:style w:type="character" w:customStyle="1" w:styleId="ListLabel2">
    <w:name w:val="ListLabel 2"/>
    <w:rsid w:val="00F50035"/>
    <w:rPr>
      <w:rFonts w:cs="Times New Roman"/>
    </w:rPr>
  </w:style>
  <w:style w:type="character" w:customStyle="1" w:styleId="ListLabel3">
    <w:name w:val="ListLabel 3"/>
    <w:rsid w:val="00F50035"/>
    <w:rPr>
      <w:rFonts w:cs="Courier New"/>
    </w:rPr>
  </w:style>
  <w:style w:type="character" w:customStyle="1" w:styleId="Rimandonotaapidipagina1">
    <w:name w:val="Rimando nota a piè di pagina1"/>
    <w:rsid w:val="00F50035"/>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sid w:val="00F50035"/>
    <w:rPr>
      <w:rFonts w:ascii="OpenSymbol" w:eastAsia="OpenSymbol" w:hAnsi="OpenSymbol" w:cs="OpenSymbol"/>
    </w:rPr>
  </w:style>
  <w:style w:type="numbering" w:customStyle="1" w:styleId="WWNum1">
    <w:name w:val="WWNum1"/>
    <w:basedOn w:val="Nessunelenco"/>
    <w:rsid w:val="00F50035"/>
    <w:pPr>
      <w:numPr>
        <w:numId w:val="1"/>
      </w:numPr>
    </w:pPr>
  </w:style>
  <w:style w:type="numbering" w:customStyle="1" w:styleId="WWNum2">
    <w:name w:val="WWNum2"/>
    <w:basedOn w:val="Nessunelenco"/>
    <w:rsid w:val="00F50035"/>
    <w:pPr>
      <w:numPr>
        <w:numId w:val="2"/>
      </w:numPr>
    </w:pPr>
  </w:style>
  <w:style w:type="numbering" w:customStyle="1" w:styleId="WWNum3">
    <w:name w:val="WWNum3"/>
    <w:basedOn w:val="Nessunelenco"/>
    <w:rsid w:val="00F50035"/>
    <w:pPr>
      <w:numPr>
        <w:numId w:val="3"/>
      </w:numPr>
    </w:pPr>
  </w:style>
  <w:style w:type="numbering" w:customStyle="1" w:styleId="WWNum4">
    <w:name w:val="WWNum4"/>
    <w:basedOn w:val="Nessunelenco"/>
    <w:rsid w:val="00F50035"/>
    <w:pPr>
      <w:numPr>
        <w:numId w:val="4"/>
      </w:numPr>
    </w:pPr>
  </w:style>
  <w:style w:type="numbering" w:customStyle="1" w:styleId="WWNum5">
    <w:name w:val="WWNum5"/>
    <w:basedOn w:val="Nessunelenco"/>
    <w:rsid w:val="00F50035"/>
    <w:pPr>
      <w:numPr>
        <w:numId w:val="5"/>
      </w:numPr>
    </w:pPr>
  </w:style>
  <w:style w:type="numbering" w:customStyle="1" w:styleId="WWNum6">
    <w:name w:val="WWNum6"/>
    <w:basedOn w:val="Nessunelenco"/>
    <w:rsid w:val="00F50035"/>
    <w:pPr>
      <w:numPr>
        <w:numId w:val="6"/>
      </w:numPr>
    </w:pPr>
  </w:style>
  <w:style w:type="numbering" w:customStyle="1" w:styleId="WWNum7">
    <w:name w:val="WWNum7"/>
    <w:basedOn w:val="Nessunelenco"/>
    <w:rsid w:val="00F50035"/>
    <w:pPr>
      <w:numPr>
        <w:numId w:val="7"/>
      </w:numPr>
    </w:pPr>
  </w:style>
  <w:style w:type="numbering" w:customStyle="1" w:styleId="WWNum8">
    <w:name w:val="WWNum8"/>
    <w:basedOn w:val="Nessunelenco"/>
    <w:rsid w:val="00F50035"/>
    <w:pPr>
      <w:numPr>
        <w:numId w:val="8"/>
      </w:numPr>
    </w:pPr>
  </w:style>
  <w:style w:type="numbering" w:customStyle="1" w:styleId="WWNum9">
    <w:name w:val="WWNum9"/>
    <w:basedOn w:val="Nessunelenco"/>
    <w:rsid w:val="00F50035"/>
    <w:pPr>
      <w:numPr>
        <w:numId w:val="9"/>
      </w:numPr>
    </w:pPr>
  </w:style>
  <w:style w:type="numbering" w:customStyle="1" w:styleId="WWNum10">
    <w:name w:val="WWNum10"/>
    <w:basedOn w:val="Nessunelenco"/>
    <w:rsid w:val="00F50035"/>
    <w:pPr>
      <w:numPr>
        <w:numId w:val="10"/>
      </w:numPr>
    </w:pPr>
  </w:style>
  <w:style w:type="numbering" w:customStyle="1" w:styleId="WWNum11">
    <w:name w:val="WWNum11"/>
    <w:basedOn w:val="Nessunelenco"/>
    <w:rsid w:val="00F50035"/>
    <w:pPr>
      <w:numPr>
        <w:numId w:val="11"/>
      </w:numPr>
    </w:pPr>
  </w:style>
  <w:style w:type="numbering" w:customStyle="1" w:styleId="WWNum12">
    <w:name w:val="WWNum12"/>
    <w:basedOn w:val="Nessunelenco"/>
    <w:rsid w:val="00F50035"/>
    <w:pPr>
      <w:numPr>
        <w:numId w:val="12"/>
      </w:numPr>
    </w:pPr>
  </w:style>
  <w:style w:type="numbering" w:customStyle="1" w:styleId="WWNum13">
    <w:name w:val="WWNum13"/>
    <w:basedOn w:val="Nessunelenco"/>
    <w:rsid w:val="00F50035"/>
    <w:pPr>
      <w:numPr>
        <w:numId w:val="13"/>
      </w:numPr>
    </w:pPr>
  </w:style>
  <w:style w:type="numbering" w:customStyle="1" w:styleId="WWNum14">
    <w:name w:val="WWNum14"/>
    <w:basedOn w:val="Nessunelenco"/>
    <w:rsid w:val="00F50035"/>
    <w:pPr>
      <w:numPr>
        <w:numId w:val="14"/>
      </w:numPr>
    </w:pPr>
  </w:style>
  <w:style w:type="numbering" w:customStyle="1" w:styleId="WWNum15">
    <w:name w:val="WWNum15"/>
    <w:basedOn w:val="Nessunelenco"/>
    <w:rsid w:val="00F50035"/>
    <w:pPr>
      <w:numPr>
        <w:numId w:val="15"/>
      </w:numPr>
    </w:pPr>
  </w:style>
  <w:style w:type="numbering" w:customStyle="1" w:styleId="WWNum16">
    <w:name w:val="WWNum16"/>
    <w:basedOn w:val="Nessunelenco"/>
    <w:rsid w:val="00F50035"/>
    <w:pPr>
      <w:numPr>
        <w:numId w:val="16"/>
      </w:numPr>
    </w:pPr>
  </w:style>
  <w:style w:type="numbering" w:customStyle="1" w:styleId="WWNum17">
    <w:name w:val="WWNum17"/>
    <w:basedOn w:val="Nessunelenco"/>
    <w:rsid w:val="00F50035"/>
    <w:pPr>
      <w:numPr>
        <w:numId w:val="17"/>
      </w:numPr>
    </w:pPr>
  </w:style>
  <w:style w:type="numbering" w:customStyle="1" w:styleId="WWNum18">
    <w:name w:val="WWNum18"/>
    <w:basedOn w:val="Nessunelenco"/>
    <w:rsid w:val="00F50035"/>
    <w:pPr>
      <w:numPr>
        <w:numId w:val="18"/>
      </w:numPr>
    </w:pPr>
  </w:style>
  <w:style w:type="numbering" w:customStyle="1" w:styleId="WWNum19">
    <w:name w:val="WWNum19"/>
    <w:basedOn w:val="Nessunelenco"/>
    <w:rsid w:val="00F50035"/>
    <w:pPr>
      <w:numPr>
        <w:numId w:val="19"/>
      </w:numPr>
    </w:pPr>
  </w:style>
  <w:style w:type="numbering" w:customStyle="1" w:styleId="WWNum20">
    <w:name w:val="WWNum20"/>
    <w:basedOn w:val="Nessunelenco"/>
    <w:rsid w:val="00F50035"/>
    <w:pPr>
      <w:numPr>
        <w:numId w:val="20"/>
      </w:numPr>
    </w:pPr>
  </w:style>
  <w:style w:type="numbering" w:customStyle="1" w:styleId="WWNum21">
    <w:name w:val="WWNum21"/>
    <w:basedOn w:val="Nessunelenco"/>
    <w:rsid w:val="00F50035"/>
    <w:pPr>
      <w:numPr>
        <w:numId w:val="21"/>
      </w:numPr>
    </w:pPr>
  </w:style>
  <w:style w:type="numbering" w:customStyle="1" w:styleId="WWNum22">
    <w:name w:val="WWNum22"/>
    <w:basedOn w:val="Nessunelenco"/>
    <w:rsid w:val="00F50035"/>
    <w:pPr>
      <w:numPr>
        <w:numId w:val="22"/>
      </w:numPr>
    </w:pPr>
  </w:style>
  <w:style w:type="numbering" w:customStyle="1" w:styleId="WWNum23">
    <w:name w:val="WWNum23"/>
    <w:basedOn w:val="Nessunelenco"/>
    <w:rsid w:val="00F50035"/>
    <w:pPr>
      <w:numPr>
        <w:numId w:val="23"/>
      </w:numPr>
    </w:pPr>
  </w:style>
  <w:style w:type="numbering" w:customStyle="1" w:styleId="WWNum24">
    <w:name w:val="WWNum24"/>
    <w:basedOn w:val="Nessunelenco"/>
    <w:rsid w:val="00F50035"/>
    <w:pPr>
      <w:numPr>
        <w:numId w:val="24"/>
      </w:numPr>
    </w:pPr>
  </w:style>
  <w:style w:type="numbering" w:customStyle="1" w:styleId="WWNum25">
    <w:name w:val="WWNum25"/>
    <w:basedOn w:val="Nessunelenco"/>
    <w:rsid w:val="00F50035"/>
    <w:pPr>
      <w:numPr>
        <w:numId w:val="25"/>
      </w:numPr>
    </w:pPr>
  </w:style>
  <w:style w:type="numbering" w:customStyle="1" w:styleId="WWNum26">
    <w:name w:val="WWNum26"/>
    <w:basedOn w:val="Nessunelenco"/>
    <w:rsid w:val="00F50035"/>
    <w:pPr>
      <w:numPr>
        <w:numId w:val="26"/>
      </w:numPr>
    </w:pPr>
  </w:style>
  <w:style w:type="numbering" w:customStyle="1" w:styleId="WWNum31">
    <w:name w:val="WWNum31"/>
    <w:basedOn w:val="Nessunelenco"/>
    <w:rsid w:val="00780514"/>
    <w:pPr>
      <w:numPr>
        <w:numId w:val="29"/>
      </w:numPr>
    </w:pPr>
  </w:style>
  <w:style w:type="paragraph" w:styleId="Nessunaspaziatura">
    <w:name w:val="No Spacing"/>
    <w:uiPriority w:val="1"/>
    <w:qFormat/>
    <w:rsid w:val="00FC2F5B"/>
    <w:pPr>
      <w:widowControl/>
      <w:autoSpaceDN/>
      <w:textAlignment w:val="auto"/>
    </w:pPr>
    <w:rPr>
      <w:rFonts w:eastAsia="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Pidipagina">
    <w:name w:val="footer"/>
    <w:basedOn w:val="Standard"/>
    <w:pPr>
      <w:suppressLineNumbers/>
      <w:tabs>
        <w:tab w:val="center" w:pos="4819"/>
        <w:tab w:val="right" w:pos="9638"/>
      </w:tabs>
      <w:spacing w:after="0" w:line="240" w:lineRule="auto"/>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Default">
    <w:name w:val="Default"/>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Pr>
      <w:rFonts w:ascii="Calibri" w:hAnsi="Calibri" w:cs="Times New Roman"/>
    </w:rPr>
  </w:style>
  <w:style w:type="character" w:styleId="Rimandocommento">
    <w:name w:val="annotation reference"/>
    <w:basedOn w:val="Carpredefinitoparagrafo"/>
    <w:rPr>
      <w:rFonts w:cs="Times New Roman"/>
      <w:sz w:val="16"/>
      <w:szCs w:val="16"/>
    </w:rPr>
  </w:style>
  <w:style w:type="character" w:customStyle="1" w:styleId="TestocommentoCarattere">
    <w:name w:val="Testo commento Carattere"/>
    <w:basedOn w:val="Carpredefinitoparagrafo"/>
    <w:rPr>
      <w:rFonts w:ascii="Calibri" w:hAnsi="Calibri" w:cs="Times New Roman"/>
      <w:sz w:val="20"/>
      <w:szCs w:val="20"/>
    </w:rPr>
  </w:style>
  <w:style w:type="character" w:customStyle="1" w:styleId="SoggettocommentoCarattere">
    <w:name w:val="Soggetto commento Carattere"/>
    <w:basedOn w:val="TestocommentoCarattere"/>
    <w:rPr>
      <w:rFonts w:ascii="Calibri" w:hAnsi="Calibri" w:cs="Times New Roman"/>
      <w:b/>
      <w:bCs/>
      <w:sz w:val="20"/>
      <w:szCs w:val="20"/>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CorpotestoCarattere">
    <w:name w:val="Corpo testo Carattere"/>
    <w:basedOn w:val="Carpredefinitoparagrafo"/>
    <w:rPr>
      <w:rFonts w:ascii="Times New Roman" w:hAnsi="Times New Roman" w:cs="Times New Roman"/>
      <w:sz w:val="24"/>
      <w:szCs w:val="24"/>
      <w:lang w:eastAsia="ar-SA" w:bidi="ar-SA"/>
    </w:rPr>
  </w:style>
  <w:style w:type="character" w:customStyle="1" w:styleId="ParagrafoelencoCarattere">
    <w:name w:val="Paragrafo elenco Carattere"/>
    <w:rPr>
      <w:lang w:eastAsia="en-US"/>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Rimandonotaapidipagina1">
    <w:name w:val="Rimando nota a piè di pagina1"/>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31">
    <w:name w:val="WWNum31"/>
    <w:basedOn w:val="Nessunelenco"/>
    <w:rsid w:val="00780514"/>
    <w:pPr>
      <w:numPr>
        <w:numId w:val="2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2871</Words>
  <Characters>16371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Admin</cp:lastModifiedBy>
  <cp:revision>3</cp:revision>
  <dcterms:created xsi:type="dcterms:W3CDTF">2019-02-25T14:36:00Z</dcterms:created>
  <dcterms:modified xsi:type="dcterms:W3CDTF">2019-02-25T14:37:00Z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